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eastAsiaTheme="minorEastAsia"/>
          <w:b/>
          <w:color w:val="FF0000"/>
          <w:sz w:val="84"/>
          <w:szCs w:val="84"/>
          <w:lang w:eastAsia="zh-CN"/>
        </w:rPr>
      </w:pPr>
      <w:r>
        <w:rPr>
          <w:rFonts w:hint="eastAsia" w:ascii="宋体" w:hAnsi="宋体"/>
          <w:b/>
          <w:color w:val="FF0000"/>
          <w:sz w:val="84"/>
          <w:szCs w:val="84"/>
        </w:rPr>
        <w:t>应</w:t>
      </w:r>
      <w:r>
        <w:rPr>
          <w:rFonts w:ascii="宋体" w:hAnsi="宋体"/>
          <w:b/>
          <w:color w:val="FF0000"/>
          <w:sz w:val="84"/>
          <w:szCs w:val="84"/>
        </w:rPr>
        <w:t xml:space="preserve"> </w:t>
      </w:r>
      <w:r>
        <w:rPr>
          <w:rFonts w:hint="eastAsia" w:ascii="宋体" w:hAnsi="宋体"/>
          <w:b/>
          <w:color w:val="FF0000"/>
          <w:sz w:val="84"/>
          <w:szCs w:val="84"/>
        </w:rPr>
        <w:t>急</w:t>
      </w:r>
      <w:r>
        <w:rPr>
          <w:rFonts w:ascii="宋体" w:hAnsi="宋体"/>
          <w:b/>
          <w:color w:val="FF0000"/>
          <w:sz w:val="84"/>
          <w:szCs w:val="84"/>
        </w:rPr>
        <w:t xml:space="preserve"> </w:t>
      </w:r>
      <w:r>
        <w:rPr>
          <w:rFonts w:hint="eastAsia" w:ascii="宋体" w:hAnsi="宋体"/>
          <w:b/>
          <w:color w:val="FF0000"/>
          <w:sz w:val="84"/>
          <w:szCs w:val="84"/>
          <w:lang w:eastAsia="zh-CN"/>
        </w:rPr>
        <w:t>简</w:t>
      </w:r>
      <w:r>
        <w:rPr>
          <w:rFonts w:hint="eastAsia" w:ascii="宋体" w:hAnsi="宋体"/>
          <w:b/>
          <w:color w:val="FF0000"/>
          <w:sz w:val="84"/>
          <w:szCs w:val="84"/>
          <w:lang w:val="en-US" w:eastAsia="zh-CN"/>
        </w:rPr>
        <w:t xml:space="preserve"> </w:t>
      </w:r>
      <w:r>
        <w:rPr>
          <w:rFonts w:hint="eastAsia" w:ascii="宋体" w:hAnsi="宋体"/>
          <w:b/>
          <w:color w:val="FF0000"/>
          <w:sz w:val="84"/>
          <w:szCs w:val="84"/>
          <w:lang w:eastAsia="zh-CN"/>
        </w:rPr>
        <w:t>报</w:t>
      </w:r>
    </w:p>
    <w:p>
      <w:pPr>
        <w:spacing w:line="500" w:lineRule="exact"/>
        <w:ind w:firstLine="520" w:firstLineChars="200"/>
        <w:textAlignment w:val="baseline"/>
        <w:rPr>
          <w:rFonts w:hint="eastAsia" w:ascii="仿宋_GB2312" w:hAnsi="仿宋_GB2312" w:eastAsia="仿宋_GB2312" w:cs="仿宋_GB2312"/>
          <w:color w:val="000000"/>
          <w:spacing w:val="-10"/>
          <w:sz w:val="28"/>
          <w:szCs w:val="28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552" w:firstLineChars="20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pacing w:val="-2"/>
          <w:sz w:val="28"/>
          <w:szCs w:val="28"/>
        </w:rPr>
        <w:t>石龙区应急管理局</w:t>
      </w:r>
      <w:r>
        <w:rPr>
          <w:rFonts w:ascii="宋体" w:hAnsi="宋体"/>
          <w:color w:val="000000"/>
          <w:spacing w:val="-2"/>
          <w:sz w:val="28"/>
          <w:szCs w:val="28"/>
        </w:rPr>
        <w:t xml:space="preserve">  </w:t>
      </w:r>
      <w:r>
        <w:rPr>
          <w:rFonts w:ascii="宋体" w:hAnsi="宋体"/>
          <w:color w:val="0D0D0D" w:themeColor="text1" w:themeTint="F2"/>
          <w:spacing w:val="-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</w:t>
      </w:r>
      <w:r>
        <w:rPr>
          <w:rFonts w:ascii="仿宋_GB2312" w:hAnsi="仿宋_GB2312" w:eastAsia="仿宋_GB2312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20</w:t>
      </w:r>
      <w:r>
        <w:rPr>
          <w:rFonts w:hint="eastAsia" w:ascii="仿宋_GB2312" w:hAnsi="仿宋_GB2312" w:eastAsia="仿宋_GB2312"/>
          <w:color w:val="0D0D0D" w:themeColor="text1" w:themeTint="F2"/>
          <w:sz w:val="32"/>
          <w:szCs w:val="3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21</w:t>
      </w:r>
      <w:r>
        <w:rPr>
          <w:rFonts w:hint="eastAsia" w:ascii="仿宋_GB2312" w:hAnsi="仿宋_GB2312" w:eastAsia="仿宋_GB2312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年</w:t>
      </w:r>
      <w:r>
        <w:rPr>
          <w:rFonts w:hint="eastAsia" w:ascii="仿宋_GB2312" w:hAnsi="仿宋_GB2312" w:eastAsia="仿宋_GB2312"/>
          <w:color w:val="0D0D0D" w:themeColor="text1" w:themeTint="F2"/>
          <w:sz w:val="32"/>
          <w:szCs w:val="3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6</w:t>
      </w:r>
      <w:r>
        <w:rPr>
          <w:rFonts w:hint="eastAsia" w:ascii="仿宋_GB2312" w:hAnsi="仿宋_GB2312" w:eastAsia="仿宋_GB2312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月</w:t>
      </w:r>
      <w:r>
        <w:rPr>
          <w:rFonts w:hint="eastAsia" w:ascii="仿宋_GB2312" w:hAnsi="仿宋_GB2312" w:eastAsia="仿宋_GB2312"/>
          <w:color w:val="0D0D0D" w:themeColor="text1" w:themeTint="F2"/>
          <w:sz w:val="32"/>
          <w:szCs w:val="3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26</w:t>
      </w:r>
      <w:r>
        <w:rPr>
          <w:rFonts w:hint="eastAsia" w:ascii="仿宋_GB2312" w:hAnsi="仿宋_GB2312" w:eastAsia="仿宋_GB2312"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日</w:t>
      </w:r>
      <w:r>
        <w:rPr>
          <w:rFonts w:ascii="方正小标宋简体" w:hAnsi="宋体" w:eastAsia="方正小标宋简体" w:cs="宋体"/>
          <w:b/>
          <w:bCs/>
          <w:color w:val="FF0000"/>
          <w:kern w:val="0"/>
          <w:sz w:val="44"/>
          <w:szCs w:val="44"/>
        </w:rPr>
        <w:t>_____________________________________</w:t>
      </w:r>
      <w:r>
        <w:rPr>
          <w:rFonts w:hint="eastAsia" w:ascii="方正小标宋简体" w:hAnsi="方正小标宋简体" w:eastAsia="方正小标宋简体" w:cs="方正小标宋简体"/>
          <w:b/>
          <w:bCs/>
          <w:color w:val="FF0000"/>
          <w:kern w:val="0"/>
          <w:sz w:val="44"/>
          <w:szCs w:val="44"/>
        </w:rPr>
        <w:t>______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color w:val="191919"/>
          <w:spacing w:val="0"/>
          <w:sz w:val="44"/>
          <w:szCs w:val="44"/>
        </w:rPr>
      </w:pPr>
      <w:bookmarkStart w:id="0" w:name="_GoBack"/>
      <w:r>
        <w:rPr>
          <w:rFonts w:hint="eastAsia" w:ascii="黑体" w:hAnsi="黑体" w:eastAsia="黑体" w:cs="黑体"/>
          <w:i w:val="0"/>
          <w:iCs w:val="0"/>
          <w:caps w:val="0"/>
          <w:color w:val="191919"/>
          <w:spacing w:val="0"/>
          <w:kern w:val="0"/>
          <w:sz w:val="44"/>
          <w:szCs w:val="44"/>
          <w:bdr w:val="none" w:color="auto" w:sz="0" w:space="0"/>
          <w:shd w:val="clear" w:fill="FFFFFF"/>
          <w:lang w:val="en-US" w:eastAsia="zh-CN" w:bidi="ar"/>
        </w:rPr>
        <w:t>石龙区主要领导带队督导检查消防安全工作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C6C6C6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666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bdr w:val="none" w:color="auto" w:sz="0" w:space="0"/>
          <w:shd w:val="clear" w:fill="FFFFFF"/>
        </w:rPr>
        <w:t>6月25日下午，石龙区委书记王玉娟、区长甘栓柱、常务副区长王大伟带领区应急管理局、消防救援大队、建设交通局、人民路街道办事处等单位负责人，深入建筑工地、学校、燃气公司、养老院、超市、宾馆等重点生产经营单位，对消防安全工作进行督导检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bdr w:val="none" w:color="auto" w:sz="0" w:space="0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6186805" cy="2862580"/>
            <wp:effectExtent l="0" t="0" r="4445" b="13970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66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bdr w:val="none" w:color="auto" w:sz="0" w:space="0"/>
          <w:shd w:val="clear" w:fill="FFFFFF"/>
        </w:rPr>
        <w:t>针对督导检查发现的问题，要求相关部门督促企业进行整改，彻底消除安全隐患。同时强调，各相关单位要深刻汲取商丘市柘城县火灾事故教训，举一反三，做到警钟长鸣；行业主管部门要提高政治站位，高度重视当前安全生产工作，切实履行监管职责，认真落实上级各项安排部署，扎实开展好安全生产专项整治、安全大排查大整治活动，对排查出的隐患登记造册，明确责任，对表销号，真正做到闭环管理，彻底消除安全隐患；要强化值班值守和应急处置，扎实做好重点领域和重点时段安全生产工作，夯实安全基础，为建党100周年营造良好安全环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bdr w:val="none" w:color="auto" w:sz="0" w:space="0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839460" cy="3372485"/>
            <wp:effectExtent l="0" t="0" r="8890" b="18415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bdr w:val="none" w:color="auto" w:sz="0" w:space="0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756275" cy="3599815"/>
            <wp:effectExtent l="0" t="0" r="15875" b="635"/>
            <wp:docPr id="8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bdr w:val="none" w:color="auto" w:sz="0" w:space="0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800090" cy="3503295"/>
            <wp:effectExtent l="0" t="0" r="10160" b="1905"/>
            <wp:docPr id="9" name="图片 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EA7C1D"/>
    <w:rsid w:val="76EA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2021-06-28T01:21:00Z</dcterms:created>
  <dc:creator>16517中午</dc:creator>
  <cp:lastModifiedBy>16517中午</cp:lastModifiedBy>
  <dcterms:modified xsi:type="dcterms:W3CDTF">2021-06-28T01:45:44Z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D8034CAE0EBB408398151B95B46A086D</vt:lpwstr>
  </property>
</Properties>
</file>