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城市管理局权责清单情况表</w:t>
      </w:r>
    </w:p>
    <w:tbl>
      <w:tblPr>
        <w:tblStyle w:val="7"/>
        <w:tblW w:w="13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2389"/>
        <w:gridCol w:w="8189"/>
        <w:gridCol w:w="147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83"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序号</w:t>
            </w:r>
          </w:p>
        </w:tc>
        <w:tc>
          <w:tcPr>
            <w:tcW w:w="2389"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项目名称</w:t>
            </w:r>
          </w:p>
        </w:tc>
        <w:tc>
          <w:tcPr>
            <w:tcW w:w="8189"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设定依据</w:t>
            </w:r>
          </w:p>
        </w:tc>
        <w:tc>
          <w:tcPr>
            <w:tcW w:w="1474"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职权类别</w:t>
            </w:r>
          </w:p>
        </w:tc>
        <w:tc>
          <w:tcPr>
            <w:tcW w:w="1243"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583" w:type="dxa"/>
            <w:vAlign w:val="center"/>
          </w:tcPr>
          <w:p>
            <w:pPr>
              <w:spacing w:after="0" w:line="220" w:lineRule="atLeast"/>
              <w:rPr>
                <w:rFonts w:hint="eastAsia" w:ascii="宋体" w:hAnsi="宋体" w:cs="宋体"/>
              </w:rPr>
            </w:pPr>
            <w:r>
              <w:rPr>
                <w:rFonts w:hint="eastAsia" w:ascii="宋体" w:hAnsi="宋体" w:cs="宋体"/>
              </w:rPr>
              <w:t>1</w:t>
            </w:r>
          </w:p>
        </w:tc>
        <w:tc>
          <w:tcPr>
            <w:tcW w:w="2389" w:type="dxa"/>
            <w:vAlign w:val="center"/>
          </w:tcPr>
          <w:p>
            <w:pPr>
              <w:spacing w:after="0" w:line="220" w:lineRule="atLeast"/>
              <w:rPr>
                <w:rFonts w:hint="eastAsia" w:ascii="宋体" w:hAnsi="宋体" w:cs="宋体"/>
              </w:rPr>
            </w:pPr>
            <w:r>
              <w:rPr>
                <w:rFonts w:hint="eastAsia" w:ascii="宋体" w:hAnsi="宋体" w:cs="宋体"/>
              </w:rPr>
              <w:t>临时占用城市道路许可</w:t>
            </w:r>
          </w:p>
          <w:p>
            <w:pPr>
              <w:spacing w:after="0" w:line="220" w:lineRule="atLeast"/>
              <w:rPr>
                <w:rFonts w:hint="eastAsia" w:ascii="宋体" w:hAnsi="宋体" w:cs="宋体"/>
              </w:rPr>
            </w:pPr>
          </w:p>
        </w:tc>
        <w:tc>
          <w:tcPr>
            <w:tcW w:w="8189" w:type="dxa"/>
            <w:vAlign w:val="center"/>
          </w:tcPr>
          <w:p>
            <w:pPr>
              <w:spacing w:after="0" w:line="220" w:lineRule="atLeast"/>
              <w:rPr>
                <w:rFonts w:hint="eastAsia" w:ascii="宋体" w:hAnsi="宋体" w:cs="宋体"/>
              </w:rPr>
            </w:pPr>
            <w:r>
              <w:rPr>
                <w:rFonts w:hint="eastAsia" w:ascii="宋体" w:hAnsi="宋体" w:cs="宋体"/>
              </w:rPr>
              <w:t>【法律】:《中华人民共和国道路交通安全法》第32条第一款:因工程建设需要占用、挖掘道路,或者跨越、穿越道路架设、增设管线设施,应当事先征得道路主管部门的同意</w:t>
            </w:r>
          </w:p>
          <w:p>
            <w:pPr>
              <w:spacing w:after="0" w:line="220" w:lineRule="atLeast"/>
              <w:rPr>
                <w:rFonts w:hint="eastAsia" w:ascii="宋体" w:hAnsi="宋体" w:cs="宋体"/>
              </w:rPr>
            </w:pPr>
            <w:r>
              <w:rPr>
                <w:rFonts w:hint="eastAsia" w:ascii="宋体" w:hAnsi="宋体" w:cs="宋体"/>
              </w:rPr>
              <w:t>【行政法规】:《城市道路管理条例》第31条第一款:因特殊据况需要临时占用城市道路的,须经市政工程行政主管部门和公安交通管理部门批准,方可按照规定占用</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trPr>
        <w:tc>
          <w:tcPr>
            <w:tcW w:w="583" w:type="dxa"/>
            <w:vAlign w:val="center"/>
          </w:tcPr>
          <w:p>
            <w:pPr>
              <w:spacing w:after="0" w:line="220" w:lineRule="atLeast"/>
              <w:rPr>
                <w:rFonts w:hint="eastAsia" w:ascii="宋体" w:hAnsi="宋体" w:eastAsia="微软雅黑" w:cs="宋体"/>
                <w:lang w:eastAsia="zh-CN"/>
              </w:rPr>
            </w:pPr>
            <w:r>
              <w:rPr>
                <w:rFonts w:hint="eastAsia" w:ascii="宋体" w:hAnsi="宋体" w:cs="宋体"/>
                <w:lang w:val="en-US" w:eastAsia="zh-CN"/>
              </w:rPr>
              <w:t>2</w:t>
            </w:r>
          </w:p>
        </w:tc>
        <w:tc>
          <w:tcPr>
            <w:tcW w:w="2389" w:type="dxa"/>
            <w:vAlign w:val="center"/>
          </w:tcPr>
          <w:p>
            <w:pPr>
              <w:spacing w:after="0" w:line="220" w:lineRule="atLeast"/>
              <w:rPr>
                <w:rFonts w:hint="eastAsia" w:ascii="宋体" w:hAnsi="宋体" w:cs="宋体"/>
              </w:rPr>
            </w:pPr>
            <w:r>
              <w:rPr>
                <w:rFonts w:hint="eastAsia" w:ascii="宋体" w:hAnsi="宋体" w:cs="宋体"/>
              </w:rPr>
              <w:t>城镇燃气经营许可（城区）</w:t>
            </w:r>
          </w:p>
        </w:tc>
        <w:tc>
          <w:tcPr>
            <w:tcW w:w="8189" w:type="dxa"/>
            <w:vAlign w:val="center"/>
          </w:tcPr>
          <w:p>
            <w:pPr>
              <w:spacing w:after="0" w:line="220" w:lineRule="atLeast"/>
              <w:jc w:val="both"/>
              <w:rPr>
                <w:rFonts w:hint="eastAsia" w:ascii="宋体" w:hAnsi="宋体" w:cs="宋体"/>
              </w:rPr>
            </w:pPr>
            <w:r>
              <w:rPr>
                <w:rFonts w:hint="eastAsia" w:ascii="宋体" w:hAnsi="宋体" w:cs="宋体"/>
              </w:rPr>
              <w:t>【行政法规】《城镇燃气管理条例》（2010年11月19日国务院令第583号）第十五条 国家对燃气经营实行许可证制度。从事燃气经营活动的企业，应当具备下列条件：（一）符合燃气发展规划要求；（二）有符合国家标准的燃气气源和燃气设施；（三）有固定的经营场所、完善的</w:t>
            </w:r>
            <w:bookmarkStart w:id="0" w:name="_GoBack"/>
            <w:bookmarkEnd w:id="0"/>
            <w:r>
              <w:rPr>
                <w:rFonts w:hint="eastAsia" w:ascii="宋体" w:hAnsi="宋体" w:cs="宋体"/>
              </w:rPr>
              <w:t>安全管理制度和健全的经营方案；（四）企业的主要负责人、安全生产管理人员以及运行、维护和抢修人员经专业培训并考核合格；（五）法律、法规规定的其他条件。</w:t>
            </w:r>
            <w:r>
              <w:rPr>
                <w:rFonts w:hint="eastAsia" w:ascii="宋体" w:hAnsi="宋体" w:cs="宋体"/>
              </w:rPr>
              <w:br w:type="textWrapping"/>
            </w:r>
            <w:r>
              <w:rPr>
                <w:rFonts w:hint="eastAsia" w:ascii="宋体" w:hAnsi="宋体" w:cs="宋体"/>
              </w:rPr>
              <w:t>符合前款规定条件的，由县级以上地方人民政府燃气管理部门核发燃气经营许可证。</w:t>
            </w:r>
            <w:r>
              <w:rPr>
                <w:rFonts w:hint="eastAsia" w:ascii="宋体" w:hAnsi="宋体" w:cs="宋体"/>
              </w:rPr>
              <w:br w:type="textWrapping"/>
            </w:r>
            <w:r>
              <w:rPr>
                <w:rFonts w:hint="eastAsia" w:ascii="宋体" w:hAnsi="宋体" w:cs="宋体"/>
              </w:rPr>
              <w:t>申请人凭燃气经营许可证到工商行政管理部门依法办理登记手续。</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trPr>
        <w:tc>
          <w:tcPr>
            <w:tcW w:w="583" w:type="dxa"/>
            <w:vAlign w:val="center"/>
          </w:tcPr>
          <w:p>
            <w:pPr>
              <w:spacing w:after="0" w:line="220" w:lineRule="atLeast"/>
              <w:rPr>
                <w:rFonts w:hint="eastAsia" w:ascii="宋体" w:hAnsi="宋体" w:eastAsia="微软雅黑" w:cs="宋体"/>
                <w:lang w:eastAsia="zh-CN"/>
              </w:rPr>
            </w:pPr>
            <w:r>
              <w:rPr>
                <w:rFonts w:hint="eastAsia" w:ascii="宋体" w:hAnsi="宋体" w:cs="宋体"/>
                <w:lang w:val="en-US" w:eastAsia="zh-CN"/>
              </w:rPr>
              <w:t>3</w:t>
            </w:r>
          </w:p>
        </w:tc>
        <w:tc>
          <w:tcPr>
            <w:tcW w:w="2389" w:type="dxa"/>
            <w:vAlign w:val="center"/>
          </w:tcPr>
          <w:p>
            <w:pPr>
              <w:spacing w:after="0" w:line="220" w:lineRule="atLeast"/>
              <w:rPr>
                <w:rFonts w:hint="eastAsia" w:ascii="宋体" w:hAnsi="宋体" w:cs="宋体"/>
              </w:rPr>
            </w:pPr>
            <w:r>
              <w:rPr>
                <w:rFonts w:hint="eastAsia" w:ascii="宋体" w:hAnsi="宋体" w:cs="宋体"/>
              </w:rPr>
              <w:t>挖掘城市道路许可</w:t>
            </w:r>
          </w:p>
          <w:p>
            <w:pPr>
              <w:spacing w:after="0" w:line="220" w:lineRule="atLeast"/>
              <w:rPr>
                <w:rFonts w:hint="eastAsia" w:ascii="宋体" w:hAnsi="宋体" w:cs="宋体"/>
              </w:rPr>
            </w:pPr>
          </w:p>
        </w:tc>
        <w:tc>
          <w:tcPr>
            <w:tcW w:w="8189" w:type="dxa"/>
            <w:vAlign w:val="center"/>
          </w:tcPr>
          <w:p>
            <w:pPr>
              <w:spacing w:after="0" w:line="220" w:lineRule="atLeast"/>
              <w:rPr>
                <w:rFonts w:hint="eastAsia" w:ascii="宋体" w:hAnsi="宋体" w:cs="宋体"/>
              </w:rPr>
            </w:pPr>
            <w:r>
              <w:rPr>
                <w:rFonts w:hint="eastAsia" w:ascii="宋体" w:hAnsi="宋体" w:cs="宋体"/>
              </w:rPr>
              <w:t>《中华人民共和国城市道路管理条例》第三十条 ：“未经市政工程行政主管部门和公安交通管理部门批准，任何单位或者个人不得占用或者挖掘城市道路。 ”及第三十三条 ：“因工程建设需要挖掘城市道路的，应当持城市规划部门批准签发的文件和有关设计文件，到市政工程行政主管部门和公安交通管理部门办理审批手续，方可按照规定挖掘。”</w:t>
            </w:r>
          </w:p>
          <w:p>
            <w:pPr>
              <w:spacing w:after="0" w:line="220" w:lineRule="atLeast"/>
              <w:rPr>
                <w:rFonts w:hint="eastAsia" w:ascii="宋体" w:hAnsi="宋体" w:cs="宋体"/>
              </w:rPr>
            </w:pPr>
            <w:r>
              <w:rPr>
                <w:rFonts w:hint="eastAsia" w:ascii="宋体" w:hAnsi="宋体" w:cs="宋体"/>
              </w:rPr>
              <w:t>《河南省市政设施管理办法》(河南省人民政府令第72号)第二十条：</w:t>
            </w:r>
          </w:p>
          <w:p>
            <w:pPr>
              <w:spacing w:after="0" w:line="220" w:lineRule="atLeast"/>
              <w:rPr>
                <w:rFonts w:hint="eastAsia" w:ascii="宋体" w:hAnsi="宋体" w:cs="宋体"/>
              </w:rPr>
            </w:pPr>
            <w:r>
              <w:rPr>
                <w:rFonts w:hint="eastAsia" w:ascii="宋体" w:hAnsi="宋体" w:cs="宋体"/>
              </w:rPr>
              <w:t>“市政设施管理范围内进行下列行为应当报经市政行政主管部门批准。”</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583" w:type="dxa"/>
            <w:vAlign w:val="center"/>
          </w:tcPr>
          <w:p>
            <w:pPr>
              <w:spacing w:after="0" w:line="220" w:lineRule="atLeast"/>
              <w:rPr>
                <w:rFonts w:hint="eastAsia" w:ascii="宋体" w:hAnsi="宋体" w:eastAsia="微软雅黑" w:cs="宋体"/>
                <w:lang w:val="en-US" w:eastAsia="zh-CN"/>
              </w:rPr>
            </w:pPr>
            <w:r>
              <w:rPr>
                <w:rFonts w:hint="eastAsia" w:ascii="宋体" w:hAnsi="宋体" w:cs="宋体"/>
                <w:lang w:val="en-US" w:eastAsia="zh-CN"/>
              </w:rPr>
              <w:t>4</w:t>
            </w:r>
          </w:p>
        </w:tc>
        <w:tc>
          <w:tcPr>
            <w:tcW w:w="2389" w:type="dxa"/>
            <w:vAlign w:val="center"/>
          </w:tcPr>
          <w:p>
            <w:pPr>
              <w:spacing w:after="0" w:line="220" w:lineRule="atLeast"/>
              <w:rPr>
                <w:rFonts w:hint="eastAsia" w:ascii="宋体" w:hAnsi="宋体" w:cs="宋体"/>
              </w:rPr>
            </w:pPr>
            <w:r>
              <w:rPr>
                <w:rFonts w:hint="eastAsia" w:ascii="宋体" w:hAnsi="宋体" w:cs="宋体"/>
              </w:rPr>
              <w:t>依附于城市道路、桥梁建设各种管线、杆线等设施许可</w:t>
            </w:r>
          </w:p>
          <w:p>
            <w:pPr>
              <w:spacing w:after="0" w:line="220" w:lineRule="atLeast"/>
              <w:rPr>
                <w:rFonts w:hint="eastAsia" w:ascii="宋体" w:hAnsi="宋体" w:cs="宋体"/>
              </w:rPr>
            </w:pPr>
          </w:p>
        </w:tc>
        <w:tc>
          <w:tcPr>
            <w:tcW w:w="8189" w:type="dxa"/>
            <w:vAlign w:val="center"/>
          </w:tcPr>
          <w:p>
            <w:pPr>
              <w:spacing w:after="0" w:line="220" w:lineRule="atLeast"/>
              <w:jc w:val="both"/>
              <w:rPr>
                <w:rFonts w:hint="eastAsia" w:ascii="宋体" w:hAnsi="宋体" w:cs="宋体"/>
              </w:rPr>
            </w:pPr>
            <w:r>
              <w:rPr>
                <w:rFonts w:hint="eastAsia" w:ascii="宋体" w:hAnsi="宋体" w:cs="宋体"/>
              </w:rPr>
              <w:t>《城市道路管理条例》第二十九条，依附于城市道路建设各种管线、杆线等设施的，应当经市政工程行政主管部门批准，方可建设。《建设工程安全生产管理条例》第六条规定，建设单位应当向施工单位提供施工现场及毗邻区域内供水、排水、供电、供气、供热、通信、广播电视等地下管线资料，气象和水文观测资料，相邻建筑物和构筑物、地下工程的有关资料，并保证资料的真实、准确、完整。第十条规定，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第四十二条规定，建设行政主管部门在审核发放施工许可证时，应当对建设工程是否有安全施工措施进行审查，对没有安全施工措施的，不得颁发施工许可证。</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vAlign w:val="center"/>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rPr>
        <w:tc>
          <w:tcPr>
            <w:tcW w:w="583" w:type="dxa"/>
            <w:vAlign w:val="center"/>
          </w:tcPr>
          <w:p>
            <w:pPr>
              <w:spacing w:after="0" w:line="220" w:lineRule="atLeast"/>
              <w:rPr>
                <w:rFonts w:hint="eastAsia" w:ascii="宋体" w:hAnsi="宋体" w:eastAsia="微软雅黑" w:cs="宋体"/>
                <w:lang w:eastAsia="zh-CN"/>
              </w:rPr>
            </w:pPr>
            <w:r>
              <w:rPr>
                <w:rFonts w:hint="eastAsia" w:ascii="宋体" w:hAnsi="宋体" w:cs="宋体"/>
                <w:lang w:val="en-US" w:eastAsia="zh-CN"/>
              </w:rPr>
              <w:t>5</w:t>
            </w:r>
          </w:p>
        </w:tc>
        <w:tc>
          <w:tcPr>
            <w:tcW w:w="2389" w:type="dxa"/>
            <w:vAlign w:val="center"/>
          </w:tcPr>
          <w:p>
            <w:pPr>
              <w:spacing w:after="0" w:line="220" w:lineRule="atLeast"/>
              <w:rPr>
                <w:rFonts w:hint="eastAsia" w:ascii="宋体" w:hAnsi="宋体" w:cs="宋体"/>
              </w:rPr>
            </w:pPr>
            <w:r>
              <w:rPr>
                <w:rFonts w:hint="eastAsia" w:ascii="宋体" w:hAnsi="宋体" w:cs="宋体"/>
              </w:rPr>
              <w:t>城市道路两侧和公共场地临时堆放物料，搭建临时建筑物、构筑物等设施许可</w:t>
            </w:r>
          </w:p>
        </w:tc>
        <w:tc>
          <w:tcPr>
            <w:tcW w:w="8189" w:type="dxa"/>
            <w:vAlign w:val="center"/>
          </w:tcPr>
          <w:p>
            <w:pPr>
              <w:spacing w:after="0" w:line="220" w:lineRule="atLeast"/>
              <w:jc w:val="both"/>
              <w:rPr>
                <w:rFonts w:hint="eastAsia" w:ascii="宋体" w:hAnsi="宋体" w:cs="宋体"/>
              </w:rPr>
            </w:pPr>
            <w:r>
              <w:rPr>
                <w:rFonts w:hint="eastAsia" w:ascii="宋体" w:hAnsi="宋体" w:cs="宋体"/>
              </w:rPr>
              <w:t>【行政法规】《城市市容和环境卫生管理条例》（1992年6月28日国务院令第101号，2011年1月1日予以修改）</w:t>
            </w:r>
            <w:r>
              <w:rPr>
                <w:rFonts w:hint="eastAsia" w:ascii="宋体" w:hAnsi="宋体" w:cs="宋体"/>
              </w:rPr>
              <w:br w:type="textWrapping"/>
            </w:r>
            <w:r>
              <w:rPr>
                <w:rFonts w:hint="eastAsia" w:ascii="宋体" w:hAnsi="宋体" w:cs="宋体"/>
              </w:rPr>
              <w:t>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trPr>
        <w:tc>
          <w:tcPr>
            <w:tcW w:w="583" w:type="dxa"/>
            <w:vAlign w:val="center"/>
          </w:tcPr>
          <w:p>
            <w:pPr>
              <w:spacing w:after="0" w:line="220" w:lineRule="atLeast"/>
              <w:rPr>
                <w:rFonts w:hint="eastAsia" w:ascii="宋体" w:hAnsi="宋体" w:eastAsia="微软雅黑" w:cs="宋体"/>
                <w:lang w:val="en-US" w:eastAsia="zh-CN"/>
              </w:rPr>
            </w:pPr>
            <w:r>
              <w:rPr>
                <w:rFonts w:hint="eastAsia" w:ascii="宋体" w:hAnsi="宋体" w:cs="宋体"/>
                <w:lang w:val="en-US" w:eastAsia="zh-CN"/>
              </w:rPr>
              <w:t>6</w:t>
            </w:r>
          </w:p>
        </w:tc>
        <w:tc>
          <w:tcPr>
            <w:tcW w:w="2389" w:type="dxa"/>
            <w:vAlign w:val="center"/>
          </w:tcPr>
          <w:p>
            <w:pPr>
              <w:spacing w:after="0" w:line="220" w:lineRule="atLeast"/>
              <w:rPr>
                <w:rFonts w:hint="eastAsia" w:ascii="宋体" w:hAnsi="宋体" w:cs="宋体"/>
              </w:rPr>
            </w:pPr>
            <w:r>
              <w:rPr>
                <w:rFonts w:hint="eastAsia" w:ascii="宋体" w:hAnsi="宋体" w:cs="宋体"/>
              </w:rPr>
              <w:t>工程建设涉及城市绿地、树木审批</w:t>
            </w:r>
          </w:p>
        </w:tc>
        <w:tc>
          <w:tcPr>
            <w:tcW w:w="8189" w:type="dxa"/>
            <w:vAlign w:val="center"/>
          </w:tcPr>
          <w:p>
            <w:pPr>
              <w:spacing w:after="0" w:line="220" w:lineRule="atLeast"/>
              <w:rPr>
                <w:rFonts w:hint="eastAsia" w:ascii="宋体" w:hAnsi="宋体" w:cs="宋体"/>
              </w:rPr>
            </w:pPr>
            <w:r>
              <w:rPr>
                <w:rFonts w:hint="eastAsia" w:ascii="宋体" w:hAnsi="宋体" w:cs="宋体"/>
                <w:sz w:val="20"/>
                <w:szCs w:val="20"/>
              </w:rPr>
              <w:t>《</w:t>
            </w:r>
            <w:r>
              <w:rPr>
                <w:rFonts w:hint="eastAsia" w:ascii="宋体" w:hAnsi="宋体" w:cs="宋体"/>
              </w:rPr>
              <w:t>城市绿化管理条例》第二十七条 未经同意擅自占用城市绿化用地的，由城市人民政府城市绿化行政主管部门责令限期退还、恢复原状，可以并处罚款;造成损失的，应当负赔偿责任。《河南省城市绿化实施办法》（河南省政府令第41号）第十七条：“任何单位和个人都不得擅自占用城市绿化用地，占用城市绿化用地的应限期归还。因建设或特殊原因，确需临时占用城市绿地的，须经城市绿化行政主管部门同意，并按规定办理临时用地手续。临时占用城市绿地1000平方米以下的，由负责城市绿化的行政主管部门审批，1000平方米以上的报省建设行政主管部门审批。临时占用城市绿地应规定期限恢复原状。”</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583" w:type="dxa"/>
            <w:vAlign w:val="center"/>
          </w:tcPr>
          <w:p>
            <w:pPr>
              <w:spacing w:after="0" w:line="220" w:lineRule="atLeast"/>
              <w:rPr>
                <w:rFonts w:hint="eastAsia" w:ascii="宋体" w:hAnsi="宋体" w:eastAsia="微软雅黑" w:cs="宋体"/>
                <w:lang w:eastAsia="zh-CN"/>
              </w:rPr>
            </w:pPr>
            <w:r>
              <w:rPr>
                <w:rFonts w:hint="eastAsia" w:ascii="宋体" w:hAnsi="宋体" w:cs="宋体"/>
                <w:lang w:val="en-US" w:eastAsia="zh-CN"/>
              </w:rPr>
              <w:t>7</w:t>
            </w:r>
          </w:p>
        </w:tc>
        <w:tc>
          <w:tcPr>
            <w:tcW w:w="2389" w:type="dxa"/>
            <w:vAlign w:val="center"/>
          </w:tcPr>
          <w:p>
            <w:pPr>
              <w:spacing w:after="0" w:line="220" w:lineRule="atLeast"/>
              <w:rPr>
                <w:rFonts w:hint="eastAsia" w:ascii="宋体" w:hAnsi="宋体" w:cs="宋体"/>
              </w:rPr>
            </w:pPr>
            <w:r>
              <w:rPr>
                <w:rFonts w:hint="eastAsia" w:ascii="宋体" w:hAnsi="宋体" w:cs="宋体"/>
              </w:rPr>
              <w:t>因工程建设需要拆除、改动、迁移供水、排水与污水处理设施审核</w:t>
            </w:r>
          </w:p>
        </w:tc>
        <w:tc>
          <w:tcPr>
            <w:tcW w:w="8189"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cs="宋体"/>
              </w:rPr>
            </w:pPr>
            <w:r>
              <w:rPr>
                <w:rFonts w:hint="eastAsia" w:ascii="宋体" w:hAnsi="宋体" w:eastAsia="微软雅黑" w:cs="宋体"/>
                <w:b w:val="0"/>
                <w:kern w:val="0"/>
                <w:sz w:val="22"/>
                <w:szCs w:val="22"/>
                <w:lang w:val="en-US" w:eastAsia="zh-CN" w:bidi="ar-SA"/>
              </w:rPr>
              <w:t>《城市道路管理条例》（国务院令198号）第二十九条“依附于城市道路建设各种管线、杆线等设施，应当经市政工程主管部门批准，方可建设。”《河南省市政设施管理办法》2018年修订版全文（河南省人民政府令第72号）【2002年12月31日河南省人民政府令第72号发布,根据2012年5月21日河南省人民政府令第148号公布的《河南省人民政府关于废止和修订部分省政府规章的决定》第一次修订,根据2017年4月14日</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"http://www.waizi.org.cn/policy/18978.html" \o "《河南省人民政府关于废止和修改部分省政府规章的决定》河南省人民政府令第179号（全文）"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河南省人民政府令第179号</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公布的《</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"http://www.waizi.org.cn/policy/18978.html" \o "《河南省人民政府关于废止和修改部分省政府规章的决定》河南省人民政府令第179号（全文）"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河南省人民政府关于废止和修改部分省政府规章的决定</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》第二次修订；根据2018年7月19日公布的</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"http://www.waizi.org.cn/policy/40426.html" \o "《河南省人民政府关于废止和修改部分省政府规章的决定》河南省人民政府令第185号"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《河南省人民政府关于废止和修改部分省政府规章的决定》（河南省人民政府令第185号）</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第三次修订】“第二十一条　因建设工程需要迁建、改建城市道路、排水、照明等市政设施的，应当报市政行政主管部门批准。迁建、改建所需费用，由建设单位承担。”《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城镇污水排入排水管网许可管理办法》（住房和城乡建设部令第21号）第六条：“排水户向所在地城镇排水主管部门申请领取排水许可证。城镇排水主管部门应当自受理申请之日起20日内作出决定。”第九条：“排水许可证的有效期为5年”国务院对确需保留的行政审批项目设定行政许可的决定》（国务院令第412号）国务院决定对确需保留的行政审批项目设定行政许可的目录103：“城市排水许可证核发  所在城市的市人民政府排水行政主管部门”</w:t>
            </w: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tcPr>
          <w:p>
            <w:pPr>
              <w:spacing w:after="0" w:line="220" w:lineRule="atLeas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8" w:hRule="atLeast"/>
        </w:trPr>
        <w:tc>
          <w:tcPr>
            <w:tcW w:w="583" w:type="dxa"/>
            <w:vAlign w:val="center"/>
          </w:tcPr>
          <w:p>
            <w:pPr>
              <w:spacing w:after="0" w:line="220" w:lineRule="atLeast"/>
              <w:rPr>
                <w:rFonts w:hint="eastAsia" w:ascii="宋体" w:hAnsi="宋体" w:eastAsia="微软雅黑" w:cs="宋体"/>
                <w:lang w:eastAsia="zh-CN"/>
              </w:rPr>
            </w:pPr>
            <w:r>
              <w:rPr>
                <w:rFonts w:hint="eastAsia" w:ascii="宋体" w:hAnsi="宋体" w:cs="宋体"/>
                <w:lang w:val="en-US" w:eastAsia="zh-CN"/>
              </w:rPr>
              <w:t>8</w:t>
            </w:r>
          </w:p>
        </w:tc>
        <w:tc>
          <w:tcPr>
            <w:tcW w:w="2389" w:type="dxa"/>
            <w:vAlign w:val="center"/>
          </w:tcPr>
          <w:p>
            <w:pPr>
              <w:spacing w:after="0" w:line="220" w:lineRule="atLeast"/>
              <w:rPr>
                <w:rFonts w:hint="eastAsia" w:ascii="宋体" w:hAnsi="宋体" w:cs="宋体"/>
              </w:rPr>
            </w:pPr>
            <w:r>
              <w:rPr>
                <w:rFonts w:hint="eastAsia" w:ascii="宋体" w:hAnsi="宋体" w:cs="宋体"/>
              </w:rPr>
              <w:t>改变绿化规划、绿化用地的使用性质审批</w:t>
            </w:r>
          </w:p>
        </w:tc>
        <w:tc>
          <w:tcPr>
            <w:tcW w:w="8189" w:type="dxa"/>
            <w:vAlign w:val="center"/>
          </w:tcPr>
          <w:p>
            <w:pPr>
              <w:spacing w:after="0" w:line="220" w:lineRule="atLeast"/>
              <w:rPr>
                <w:rFonts w:hint="eastAsia" w:ascii="宋体" w:hAnsi="宋体" w:cs="宋体"/>
              </w:rPr>
            </w:pPr>
            <w:r>
              <w:rPr>
                <w:rFonts w:hint="eastAsia" w:ascii="宋体" w:hAnsi="宋体" w:cs="宋体"/>
              </w:rPr>
              <w:t>《城市绿化条例》（1992年国务院令第100号发布，2017年国务院令第676号修订）第十八条 任何单位和个人都不得擅自改变城市绿化规划用地性质或者破坏绿化规划用地的地形、地貌、水体和植被。第十九条第二款 因建设或者其他特殊需要临时占用城市绿化用地，须经城市人民政府城市绿化行政主管部门同意，并按照有关规定办理临时用地手续。《国务院对确需保留的行政审批项目设定行政许可的决定》（国务院令第412号）附件《国务院决定确需保留的行政审批事项目录》第107项。《城市绿线管理办法》（2002年建设部令第112号发布，2011年住建部令第9号修正）第十一条第一款 城市绿线内的用地，不得改作他用，不得违反法律法规、强制性标准以及批准的规划进行开发建设。第三款 因建设或者其他特殊情况，需要临时占用城市绿线内用地的，必须依法办理相关审批手续。</w:t>
            </w:r>
          </w:p>
          <w:p>
            <w:pPr>
              <w:spacing w:after="0" w:line="220" w:lineRule="atLeast"/>
              <w:rPr>
                <w:rFonts w:hint="eastAsia" w:ascii="宋体" w:hAnsi="宋体" w:cs="宋体"/>
              </w:rPr>
            </w:pPr>
          </w:p>
        </w:tc>
        <w:tc>
          <w:tcPr>
            <w:tcW w:w="1474" w:type="dxa"/>
            <w:vAlign w:val="center"/>
          </w:tcPr>
          <w:p>
            <w:pPr>
              <w:spacing w:after="0" w:line="220" w:lineRule="atLeast"/>
              <w:jc w:val="center"/>
              <w:rPr>
                <w:rFonts w:hint="eastAsia" w:ascii="宋体" w:hAnsi="宋体" w:cs="宋体"/>
              </w:rPr>
            </w:pPr>
            <w:r>
              <w:rPr>
                <w:rFonts w:hint="eastAsia" w:ascii="宋体" w:hAnsi="宋体" w:cs="宋体"/>
              </w:rPr>
              <w:t>行政许可</w:t>
            </w:r>
          </w:p>
        </w:tc>
        <w:tc>
          <w:tcPr>
            <w:tcW w:w="1243" w:type="dxa"/>
            <w:vAlign w:val="center"/>
          </w:tcPr>
          <w:p>
            <w:pPr>
              <w:spacing w:after="0" w:line="220" w:lineRule="atLeast"/>
              <w:jc w:val="center"/>
              <w:rPr>
                <w:rFonts w:hint="eastAsia" w:ascii="宋体" w:hAnsi="宋体" w:cs="宋体"/>
              </w:rPr>
            </w:pPr>
          </w:p>
        </w:tc>
      </w:tr>
    </w:tbl>
    <w:p>
      <w:pPr>
        <w:spacing w:after="0" w:line="220" w:lineRule="atLeast"/>
        <w:rPr>
          <w:rFonts w:hint="eastAsia" w:ascii="宋体" w:hAnsi="宋体" w:cs="宋体"/>
        </w:rPr>
      </w:pPr>
    </w:p>
    <w:sectPr>
      <w:footerReference r:id="rId5" w:type="default"/>
      <w:pgSz w:w="16838" w:h="11906" w:orient="landscape"/>
      <w:pgMar w:top="1644" w:right="1474" w:bottom="1417"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5CC7"/>
    <w:rsid w:val="000474D6"/>
    <w:rsid w:val="0006245C"/>
    <w:rsid w:val="00091197"/>
    <w:rsid w:val="000A5E74"/>
    <w:rsid w:val="000E3215"/>
    <w:rsid w:val="0010687B"/>
    <w:rsid w:val="001675F4"/>
    <w:rsid w:val="001A0273"/>
    <w:rsid w:val="001A4356"/>
    <w:rsid w:val="001F7C5E"/>
    <w:rsid w:val="002370EA"/>
    <w:rsid w:val="002868CA"/>
    <w:rsid w:val="00323B43"/>
    <w:rsid w:val="00362211"/>
    <w:rsid w:val="003D37D8"/>
    <w:rsid w:val="00426133"/>
    <w:rsid w:val="004358AB"/>
    <w:rsid w:val="00436891"/>
    <w:rsid w:val="00481EA0"/>
    <w:rsid w:val="004855B9"/>
    <w:rsid w:val="004A507F"/>
    <w:rsid w:val="00527C7C"/>
    <w:rsid w:val="00551722"/>
    <w:rsid w:val="00574123"/>
    <w:rsid w:val="005D2146"/>
    <w:rsid w:val="005D7482"/>
    <w:rsid w:val="005F20C3"/>
    <w:rsid w:val="00633EB4"/>
    <w:rsid w:val="00680CF9"/>
    <w:rsid w:val="006A426A"/>
    <w:rsid w:val="006A5CCE"/>
    <w:rsid w:val="00704019"/>
    <w:rsid w:val="00707321"/>
    <w:rsid w:val="0079182C"/>
    <w:rsid w:val="007B55A0"/>
    <w:rsid w:val="007C0C9D"/>
    <w:rsid w:val="00823E6B"/>
    <w:rsid w:val="00843FD5"/>
    <w:rsid w:val="008B7726"/>
    <w:rsid w:val="008F0528"/>
    <w:rsid w:val="009F19DD"/>
    <w:rsid w:val="00A73888"/>
    <w:rsid w:val="00A76A70"/>
    <w:rsid w:val="00AA2EB2"/>
    <w:rsid w:val="00AE449C"/>
    <w:rsid w:val="00B04B3B"/>
    <w:rsid w:val="00BF26FE"/>
    <w:rsid w:val="00C33264"/>
    <w:rsid w:val="00C91650"/>
    <w:rsid w:val="00D31D50"/>
    <w:rsid w:val="00D62256"/>
    <w:rsid w:val="00D657E7"/>
    <w:rsid w:val="00D67082"/>
    <w:rsid w:val="00DE261B"/>
    <w:rsid w:val="00E309A7"/>
    <w:rsid w:val="00E318E1"/>
    <w:rsid w:val="00E42726"/>
    <w:rsid w:val="00EA45F4"/>
    <w:rsid w:val="00F10495"/>
    <w:rsid w:val="00F1062B"/>
    <w:rsid w:val="00F704A4"/>
    <w:rsid w:val="00F74F09"/>
    <w:rsid w:val="00F81B3C"/>
    <w:rsid w:val="00F92FC1"/>
    <w:rsid w:val="00FF71F0"/>
    <w:rsid w:val="06200CF9"/>
    <w:rsid w:val="15436860"/>
    <w:rsid w:val="1B436018"/>
    <w:rsid w:val="253C27F4"/>
    <w:rsid w:val="29AE4B8F"/>
    <w:rsid w:val="2C5E199E"/>
    <w:rsid w:val="308C5846"/>
    <w:rsid w:val="3AF33DF4"/>
    <w:rsid w:val="443249ED"/>
    <w:rsid w:val="46885BA6"/>
    <w:rsid w:val="4AFD0A4D"/>
    <w:rsid w:val="4F91056C"/>
    <w:rsid w:val="59C03226"/>
    <w:rsid w:val="6695743D"/>
    <w:rsid w:val="6A3F286D"/>
    <w:rsid w:val="6BB933ED"/>
    <w:rsid w:val="6CBE4F9B"/>
    <w:rsid w:val="72CF51D2"/>
    <w:rsid w:val="79191993"/>
    <w:rsid w:val="7D64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rFonts w:ascii="Tahoma" w:hAnsi="Tahoma"/>
      <w:sz w:val="18"/>
      <w:szCs w:val="18"/>
    </w:rPr>
  </w:style>
  <w:style w:type="character" w:customStyle="1" w:styleId="12">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1020</Words>
  <Characters>5818</Characters>
  <Lines>48</Lines>
  <Paragraphs>13</Paragraphs>
  <TotalTime>35</TotalTime>
  <ScaleCrop>false</ScaleCrop>
  <LinksUpToDate>false</LinksUpToDate>
  <CharactersWithSpaces>6825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2019-12-10T02:58:00Z</cp:lastPrinted>
  <dcterms:modified xsi:type="dcterms:W3CDTF">2021-03-25T08:45:20Z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69908558A0F34152874B5EA7B84AC605</vt:lpwstr>
  </property>
</Properties>
</file>