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pacing w:line="700" w:lineRule="exact"/>
        <w:jc w:val="center"/>
        <w:rPr>
          <w:rStyle w:val="7"/>
          <w:rFonts w:ascii="方正小标宋_GBK" w:hAnsi="方正小标宋_GBK" w:eastAsia="方正小标宋_GBK" w:cs="方正小标宋_GBK"/>
          <w:b w:val="0"/>
          <w:bCs/>
          <w:sz w:val="44"/>
          <w:szCs w:val="44"/>
        </w:rPr>
      </w:pPr>
      <w:r>
        <w:rPr>
          <w:rStyle w:val="7"/>
          <w:rFonts w:hint="eastAsia" w:ascii="方正小标宋_GBK" w:hAnsi="方正小标宋_GBK" w:eastAsia="方正小标宋_GBK" w:cs="方正小标宋_GBK"/>
          <w:b w:val="0"/>
          <w:bCs/>
          <w:sz w:val="44"/>
          <w:szCs w:val="44"/>
        </w:rPr>
        <w:t>平顶山市石龙区人民政府</w:t>
      </w:r>
    </w:p>
    <w:p>
      <w:pPr>
        <w:pStyle w:val="10"/>
        <w:widowControl/>
        <w:spacing w:line="7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拟征收土地补偿安置方案公告</w:t>
      </w:r>
    </w:p>
    <w:p>
      <w:pPr>
        <w:pStyle w:val="10"/>
        <w:widowControl/>
        <w:spacing w:line="440" w:lineRule="exact"/>
        <w:jc w:val="center"/>
        <w:rPr>
          <w:rStyle w:val="7"/>
          <w:rFonts w:ascii="仿宋_GB2312" w:hAnsi="仿宋_GB2312" w:eastAsia="仿宋_GB2312" w:cs="仿宋_GB2312"/>
          <w:b w:val="0"/>
          <w:bCs/>
          <w:sz w:val="32"/>
          <w:szCs w:val="32"/>
        </w:rPr>
      </w:pPr>
    </w:p>
    <w:p>
      <w:pPr>
        <w:pStyle w:val="10"/>
        <w:widowControl/>
        <w:jc w:val="center"/>
        <w:rPr>
          <w:rFonts w:ascii="仿宋_GB2312" w:hAnsi="仿宋_GB2312" w:eastAsia="仿宋_GB2312" w:cs="仿宋_GB2312"/>
          <w:sz w:val="32"/>
          <w:szCs w:val="32"/>
        </w:rPr>
      </w:pPr>
      <w:r>
        <w:rPr>
          <w:rStyle w:val="7"/>
          <w:rFonts w:hint="eastAsia" w:ascii="仿宋_GB2312" w:hAnsi="仿宋_GB2312" w:eastAsia="仿宋_GB2312" w:cs="仿宋_GB2312"/>
          <w:b w:val="0"/>
          <w:bCs/>
          <w:sz w:val="32"/>
          <w:szCs w:val="32"/>
        </w:rPr>
        <w:t>平龙政土〔202</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 xml:space="preserve">5 </w:t>
      </w:r>
      <w:r>
        <w:rPr>
          <w:rStyle w:val="7"/>
          <w:rFonts w:hint="eastAsia" w:ascii="仿宋_GB2312" w:hAnsi="仿宋_GB2312" w:eastAsia="仿宋_GB2312" w:cs="仿宋_GB2312"/>
          <w:b w:val="0"/>
          <w:bCs/>
          <w:sz w:val="32"/>
          <w:szCs w:val="32"/>
        </w:rPr>
        <w:t>号</w:t>
      </w:r>
    </w:p>
    <w:p>
      <w:pPr>
        <w:pStyle w:val="10"/>
        <w:widowControl/>
        <w:spacing w:line="320" w:lineRule="exact"/>
        <w:ind w:firstLine="640" w:firstLineChars="200"/>
        <w:rPr>
          <w:rFonts w:ascii="仿宋_GB2312" w:hAnsi="仿宋_GB2312" w:eastAsia="仿宋_GB2312" w:cs="仿宋_GB2312"/>
          <w:sz w:val="32"/>
          <w:szCs w:val="32"/>
        </w:rPr>
      </w:pP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为保障全区经济社会发展用地需要，</w:t>
      </w:r>
      <w:r>
        <w:rPr>
          <w:rFonts w:hint="eastAsia" w:ascii="仿宋" w:hAnsi="仿宋" w:eastAsia="仿宋" w:cs="仿宋_GB2312"/>
          <w:sz w:val="32"/>
          <w:szCs w:val="32"/>
          <w:lang w:eastAsia="zh-CN"/>
        </w:rPr>
        <w:t>根据《中华人民共和国土地管理法》等法律法规的规定，依据《平顶山市石龙区人民政府土地征收启动公告》（</w:t>
      </w:r>
      <w:r>
        <w:rPr>
          <w:rStyle w:val="7"/>
          <w:rFonts w:hint="eastAsia" w:ascii="仿宋_GB2312" w:hAnsi="仿宋_GB2312" w:eastAsia="仿宋_GB2312" w:cs="仿宋_GB2312"/>
          <w:b w:val="0"/>
          <w:bCs/>
          <w:sz w:val="32"/>
          <w:szCs w:val="32"/>
        </w:rPr>
        <w:t>平龙政土〔202</w:t>
      </w:r>
      <w:r>
        <w:rPr>
          <w:rStyle w:val="7"/>
          <w:rFonts w:hint="eastAsia" w:ascii="仿宋_GB2312" w:hAnsi="仿宋_GB2312" w:eastAsia="仿宋_GB2312" w:cs="仿宋_GB2312"/>
          <w:b w:val="0"/>
          <w:bCs/>
          <w:sz w:val="32"/>
          <w:szCs w:val="32"/>
          <w:lang w:val="en-US" w:eastAsia="zh-CN"/>
        </w:rPr>
        <w:t>1</w:t>
      </w:r>
      <w:r>
        <w:rPr>
          <w:rStyle w:val="7"/>
          <w:rFonts w:hint="eastAsia" w:ascii="仿宋_GB2312" w:hAnsi="仿宋_GB2312" w:eastAsia="仿宋_GB2312" w:cs="仿宋_GB2312"/>
          <w:b w:val="0"/>
          <w:bCs/>
          <w:sz w:val="32"/>
          <w:szCs w:val="32"/>
        </w:rPr>
        <w:t>〕</w:t>
      </w:r>
      <w:r>
        <w:rPr>
          <w:rStyle w:val="7"/>
          <w:rFonts w:hint="eastAsia" w:ascii="仿宋_GB2312" w:hAnsi="仿宋_GB2312" w:eastAsia="仿宋_GB2312" w:cs="仿宋_GB2312"/>
          <w:b w:val="0"/>
          <w:bCs/>
          <w:sz w:val="32"/>
          <w:szCs w:val="32"/>
          <w:lang w:val="en-US" w:eastAsia="zh-CN"/>
        </w:rPr>
        <w:t>4</w:t>
      </w:r>
      <w:r>
        <w:rPr>
          <w:rStyle w:val="7"/>
          <w:rFonts w:hint="eastAsia" w:ascii="仿宋_GB2312" w:hAnsi="仿宋_GB2312" w:eastAsia="仿宋_GB2312" w:cs="仿宋_GB2312"/>
          <w:b w:val="0"/>
          <w:bCs/>
          <w:sz w:val="32"/>
          <w:szCs w:val="32"/>
        </w:rPr>
        <w:t>号</w:t>
      </w:r>
      <w:r>
        <w:rPr>
          <w:rFonts w:hint="eastAsia" w:ascii="仿宋" w:hAnsi="仿宋" w:eastAsia="仿宋" w:cs="仿宋_GB2312"/>
          <w:sz w:val="32"/>
          <w:szCs w:val="32"/>
          <w:lang w:eastAsia="zh-CN"/>
        </w:rPr>
        <w:t>）和土地现状调查结果，现将《征地补偿安置方案》公告如下：</w:t>
      </w:r>
    </w:p>
    <w:p>
      <w:pPr>
        <w:pStyle w:val="10"/>
        <w:widowControl/>
        <w:spacing w:line="560" w:lineRule="exact"/>
        <w:ind w:firstLine="643" w:firstLineChars="200"/>
        <w:rPr>
          <w:rFonts w:hint="eastAsia" w:ascii="仿宋" w:hAnsi="仿宋" w:eastAsia="仿宋" w:cs="黑体"/>
          <w:b/>
          <w:sz w:val="32"/>
          <w:szCs w:val="32"/>
          <w:lang w:eastAsia="zh-CN"/>
        </w:rPr>
      </w:pPr>
      <w:r>
        <w:rPr>
          <w:rFonts w:hint="eastAsia" w:ascii="仿宋" w:hAnsi="仿宋" w:eastAsia="仿宋" w:cs="黑体"/>
          <w:b/>
          <w:sz w:val="32"/>
          <w:szCs w:val="32"/>
        </w:rPr>
        <w:t>一、拟征收土地的位置、地类</w:t>
      </w:r>
      <w:r>
        <w:rPr>
          <w:rFonts w:hint="eastAsia" w:ascii="仿宋" w:hAnsi="仿宋" w:eastAsia="仿宋" w:cs="黑体"/>
          <w:b/>
          <w:sz w:val="32"/>
          <w:szCs w:val="32"/>
          <w:lang w:eastAsia="zh-CN"/>
        </w:rPr>
        <w:t>、</w:t>
      </w:r>
      <w:r>
        <w:rPr>
          <w:rFonts w:hint="eastAsia" w:ascii="仿宋" w:hAnsi="仿宋" w:eastAsia="仿宋" w:cs="黑体"/>
          <w:b/>
          <w:sz w:val="32"/>
          <w:szCs w:val="32"/>
        </w:rPr>
        <w:t>面积</w:t>
      </w:r>
      <w:r>
        <w:rPr>
          <w:rFonts w:hint="eastAsia" w:ascii="仿宋" w:hAnsi="仿宋" w:eastAsia="仿宋" w:cs="黑体"/>
          <w:b/>
          <w:sz w:val="32"/>
          <w:szCs w:val="32"/>
          <w:lang w:eastAsia="zh-CN"/>
        </w:rPr>
        <w:t>和权属</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本次拟征收</w:t>
      </w:r>
      <w:r>
        <w:rPr>
          <w:rFonts w:hint="eastAsia" w:ascii="仿宋" w:hAnsi="仿宋" w:eastAsia="仿宋" w:cs="仿宋_GB2312"/>
          <w:sz w:val="32"/>
          <w:szCs w:val="32"/>
          <w:lang w:eastAsia="zh-CN"/>
        </w:rPr>
        <w:t>地块</w:t>
      </w:r>
      <w:r>
        <w:rPr>
          <w:rFonts w:hint="eastAsia" w:ascii="仿宋" w:hAnsi="仿宋" w:eastAsia="仿宋" w:cs="仿宋_GB2312"/>
          <w:sz w:val="32"/>
          <w:szCs w:val="32"/>
          <w:lang w:val="en-US" w:eastAsia="zh-CN"/>
        </w:rPr>
        <w:t>位于</w:t>
      </w:r>
      <w:r>
        <w:rPr>
          <w:rFonts w:hint="eastAsia" w:ascii="仿宋" w:hAnsi="仿宋" w:eastAsia="仿宋" w:cs="仿宋_GB2312"/>
          <w:sz w:val="32"/>
          <w:szCs w:val="32"/>
        </w:rPr>
        <w:t>龙河街道办事处嘴陈社区</w:t>
      </w:r>
      <w:r>
        <w:rPr>
          <w:rFonts w:hint="eastAsia" w:ascii="仿宋" w:hAnsi="仿宋" w:eastAsia="仿宋" w:cs="仿宋_GB2312"/>
          <w:sz w:val="32"/>
          <w:szCs w:val="32"/>
          <w:lang w:eastAsia="zh-CN"/>
        </w:rPr>
        <w:t>，东至嘴陈社区集体土地，西至嘴陈社区集体土地，北至宝丰姚店铺，南至宝丰草场。</w:t>
      </w:r>
      <w:r>
        <w:rPr>
          <w:rFonts w:hint="eastAsia" w:ascii="仿宋" w:hAnsi="仿宋" w:eastAsia="仿宋" w:cs="仿宋_GB2312"/>
          <w:sz w:val="32"/>
          <w:szCs w:val="32"/>
        </w:rPr>
        <w:t>土地总面积</w:t>
      </w:r>
      <w:r>
        <w:rPr>
          <w:rFonts w:hint="eastAsia" w:ascii="仿宋" w:hAnsi="仿宋" w:eastAsia="仿宋" w:cs="仿宋_GB2312"/>
          <w:sz w:val="32"/>
          <w:szCs w:val="32"/>
          <w:lang w:val="en-US" w:eastAsia="zh-CN"/>
        </w:rPr>
        <w:t>5.9376</w:t>
      </w:r>
      <w:r>
        <w:rPr>
          <w:rFonts w:hint="eastAsia" w:ascii="仿宋" w:hAnsi="仿宋" w:eastAsia="仿宋" w:cs="仿宋_GB2312"/>
          <w:sz w:val="32"/>
          <w:szCs w:val="32"/>
        </w:rPr>
        <w:t>公顷（其中耕地</w:t>
      </w:r>
      <w:r>
        <w:rPr>
          <w:rFonts w:hint="eastAsia" w:ascii="仿宋" w:hAnsi="仿宋" w:eastAsia="仿宋" w:cs="仿宋_GB2312"/>
          <w:sz w:val="32"/>
          <w:szCs w:val="32"/>
          <w:lang w:val="en-US" w:eastAsia="zh-CN"/>
        </w:rPr>
        <w:t>5.6585</w:t>
      </w:r>
      <w:r>
        <w:rPr>
          <w:rFonts w:hint="eastAsia" w:ascii="仿宋" w:hAnsi="仿宋" w:eastAsia="仿宋" w:cs="仿宋_GB2312"/>
          <w:sz w:val="32"/>
          <w:szCs w:val="32"/>
        </w:rPr>
        <w:t>公顷、</w:t>
      </w:r>
      <w:r>
        <w:rPr>
          <w:rFonts w:hint="eastAsia" w:ascii="仿宋" w:hAnsi="仿宋" w:eastAsia="仿宋" w:cs="仿宋_GB2312"/>
          <w:sz w:val="32"/>
          <w:szCs w:val="32"/>
          <w:lang w:eastAsia="zh-CN"/>
        </w:rPr>
        <w:t>交通</w:t>
      </w:r>
      <w:r>
        <w:rPr>
          <w:rFonts w:hint="eastAsia" w:ascii="仿宋" w:hAnsi="仿宋" w:eastAsia="仿宋" w:cs="仿宋_GB2312"/>
          <w:sz w:val="32"/>
          <w:szCs w:val="32"/>
        </w:rPr>
        <w:t>用地0.</w:t>
      </w:r>
      <w:r>
        <w:rPr>
          <w:rFonts w:hint="eastAsia" w:ascii="仿宋" w:hAnsi="仿宋" w:eastAsia="仿宋" w:cs="仿宋_GB2312"/>
          <w:sz w:val="32"/>
          <w:szCs w:val="32"/>
          <w:lang w:val="en-US" w:eastAsia="zh-CN"/>
        </w:rPr>
        <w:t>1346</w:t>
      </w:r>
      <w:r>
        <w:rPr>
          <w:rFonts w:hint="eastAsia" w:ascii="仿宋" w:hAnsi="仿宋" w:eastAsia="仿宋" w:cs="仿宋_GB2312"/>
          <w:sz w:val="32"/>
          <w:szCs w:val="32"/>
        </w:rPr>
        <w:t>公顷</w:t>
      </w:r>
      <w:r>
        <w:rPr>
          <w:rFonts w:hint="eastAsia" w:ascii="仿宋" w:hAnsi="仿宋" w:eastAsia="仿宋" w:cs="仿宋_GB2312"/>
          <w:sz w:val="32"/>
          <w:szCs w:val="32"/>
          <w:lang w:eastAsia="zh-CN"/>
        </w:rPr>
        <w:t>、水域及水利设施用地</w:t>
      </w:r>
      <w:r>
        <w:rPr>
          <w:rFonts w:hint="eastAsia" w:ascii="仿宋" w:hAnsi="仿宋" w:eastAsia="仿宋" w:cs="仿宋_GB2312"/>
          <w:sz w:val="32"/>
          <w:szCs w:val="32"/>
          <w:lang w:val="en-US" w:eastAsia="zh-CN"/>
        </w:rPr>
        <w:t>0.1145公顷</w:t>
      </w:r>
      <w:r>
        <w:rPr>
          <w:rFonts w:hint="eastAsia" w:ascii="仿宋" w:hAnsi="仿宋" w:eastAsia="仿宋" w:cs="仿宋_GB2312"/>
          <w:sz w:val="32"/>
          <w:szCs w:val="32"/>
        </w:rPr>
        <w:t>）</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二、拟征收土地目的</w:t>
      </w:r>
    </w:p>
    <w:p>
      <w:pPr>
        <w:pStyle w:val="10"/>
        <w:widowControl/>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本次拟征收土地用于</w:t>
      </w:r>
      <w:r>
        <w:rPr>
          <w:rFonts w:hint="eastAsia" w:ascii="仿宋" w:hAnsi="仿宋" w:eastAsia="仿宋" w:cs="仿宋_GB2312"/>
          <w:sz w:val="32"/>
          <w:szCs w:val="32"/>
          <w:lang w:eastAsia="zh-CN"/>
        </w:rPr>
        <w:t>交通运输用地</w:t>
      </w:r>
      <w:r>
        <w:rPr>
          <w:rFonts w:hint="eastAsia" w:ascii="仿宋" w:hAnsi="仿宋" w:eastAsia="仿宋" w:cs="仿宋_GB2312"/>
          <w:sz w:val="32"/>
          <w:szCs w:val="32"/>
        </w:rPr>
        <w:t>开发建设，符合法律规定的可以征收情形。</w:t>
      </w:r>
    </w:p>
    <w:p>
      <w:pPr>
        <w:pStyle w:val="10"/>
        <w:widowControl/>
        <w:spacing w:line="560" w:lineRule="exact"/>
        <w:ind w:firstLine="643" w:firstLineChars="200"/>
        <w:rPr>
          <w:rFonts w:ascii="仿宋" w:hAnsi="仿宋" w:eastAsia="仿宋" w:cs="仿宋_GB2312"/>
          <w:b/>
          <w:sz w:val="32"/>
          <w:szCs w:val="32"/>
        </w:rPr>
      </w:pPr>
      <w:r>
        <w:rPr>
          <w:rFonts w:hint="eastAsia" w:ascii="仿宋" w:hAnsi="仿宋" w:eastAsia="仿宋" w:cs="黑体"/>
          <w:b/>
          <w:sz w:val="32"/>
          <w:szCs w:val="32"/>
        </w:rPr>
        <w:t>三、拟征收土地补偿标准</w:t>
      </w:r>
    </w:p>
    <w:p>
      <w:pPr>
        <w:pStyle w:val="10"/>
        <w:widowControl/>
        <w:spacing w:line="560" w:lineRule="exact"/>
        <w:ind w:firstLine="640" w:firstLineChars="200"/>
        <w:jc w:val="both"/>
        <w:rPr>
          <w:rFonts w:hint="eastAsia" w:ascii="仿宋" w:hAnsi="仿宋" w:eastAsia="仿宋" w:cs="仿宋_GB2312"/>
          <w:sz w:val="32"/>
          <w:szCs w:val="32"/>
          <w:lang w:val="en-US" w:eastAsia="zh-CN"/>
        </w:rPr>
      </w:pPr>
      <w:r>
        <w:rPr>
          <w:rFonts w:hint="eastAsia" w:ascii="仿宋" w:hAnsi="仿宋" w:eastAsia="仿宋" w:cs="仿宋_GB2312"/>
          <w:sz w:val="32"/>
          <w:szCs w:val="32"/>
        </w:rPr>
        <w:t>（一）土地征收补偿安置费标准：按照《河南省人民政府关于调整河南省征地区片综合地价的通知》（豫政〔2016〕48号）公布的石龙区征地区片综合地价标准执行。征地区片</w:t>
      </w:r>
      <w:r>
        <w:rPr>
          <w:rFonts w:hint="eastAsia" w:ascii="仿宋" w:hAnsi="仿宋" w:eastAsia="仿宋" w:cs="仿宋_GB2312"/>
          <w:sz w:val="32"/>
          <w:szCs w:val="32"/>
          <w:lang w:eastAsia="zh-CN"/>
        </w:rPr>
        <w:t>综合地价为</w:t>
      </w:r>
      <w:r>
        <w:rPr>
          <w:rFonts w:hint="eastAsia" w:ascii="仿宋" w:hAnsi="仿宋" w:eastAsia="仿宋" w:cs="仿宋_GB2312"/>
          <w:sz w:val="32"/>
          <w:szCs w:val="32"/>
          <w:lang w:val="en-US" w:eastAsia="zh-CN"/>
        </w:rPr>
        <w:t>75万元/公顷。</w:t>
      </w:r>
    </w:p>
    <w:p>
      <w:pPr>
        <w:pStyle w:val="10"/>
        <w:widowControl/>
        <w:spacing w:line="560" w:lineRule="exact"/>
        <w:ind w:firstLine="640" w:firstLineChars="200"/>
        <w:jc w:val="both"/>
        <w:rPr>
          <w:rFonts w:hint="eastAsia" w:ascii="仿宋" w:hAnsi="仿宋" w:eastAsia="仿宋" w:cs="仿宋_GB2312"/>
          <w:sz w:val="32"/>
          <w:szCs w:val="32"/>
          <w:u w:val="single"/>
          <w:lang w:eastAsia="zh-CN"/>
        </w:rPr>
      </w:pPr>
      <w:r>
        <w:rPr>
          <w:rFonts w:hint="eastAsia" w:ascii="仿宋" w:hAnsi="仿宋" w:eastAsia="仿宋" w:cs="仿宋_GB2312"/>
          <w:sz w:val="32"/>
          <w:szCs w:val="32"/>
        </w:rPr>
        <w:t>（二）地上附着物和青苗补偿标准：按照《平顶山市人民政府关于印发平顶山市征地青苗及地上附着物补偿标准的通知》(平政〔2017〕33号)规定</w:t>
      </w:r>
      <w:r>
        <w:rPr>
          <w:rFonts w:hint="eastAsia" w:ascii="仿宋" w:hAnsi="仿宋" w:eastAsia="仿宋" w:cs="仿宋_GB2312"/>
          <w:sz w:val="32"/>
          <w:szCs w:val="32"/>
          <w:lang w:eastAsia="zh-CN"/>
        </w:rPr>
        <w:t>执行。</w:t>
      </w:r>
    </w:p>
    <w:p>
      <w:pPr>
        <w:pStyle w:val="10"/>
        <w:widowControl/>
        <w:spacing w:line="560" w:lineRule="exact"/>
        <w:ind w:firstLine="643" w:firstLineChars="200"/>
        <w:jc w:val="both"/>
        <w:rPr>
          <w:rFonts w:ascii="仿宋" w:hAnsi="仿宋" w:eastAsia="仿宋" w:cs="黑体"/>
          <w:b/>
          <w:sz w:val="32"/>
          <w:szCs w:val="32"/>
        </w:rPr>
      </w:pPr>
      <w:r>
        <w:rPr>
          <w:rFonts w:hint="eastAsia" w:ascii="仿宋" w:hAnsi="仿宋" w:eastAsia="仿宋" w:cs="黑体"/>
          <w:b/>
          <w:sz w:val="32"/>
          <w:szCs w:val="32"/>
        </w:rPr>
        <w:t>四、安置意见</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 xml:space="preserve">按照相关法律法规规定，经与土地所有权人、使用权人协商，对拟征收土地涉及的农业人口采取以下方式安置：  </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（一）货币安置：土地征收补偿安置费</w:t>
      </w:r>
      <w:r>
        <w:rPr>
          <w:rFonts w:hint="eastAsia" w:ascii="仿宋" w:hAnsi="仿宋" w:eastAsia="仿宋" w:cs="仿宋_GB2312"/>
          <w:sz w:val="32"/>
          <w:szCs w:val="32"/>
          <w:lang w:eastAsia="zh-CN"/>
        </w:rPr>
        <w:t>用</w:t>
      </w:r>
      <w:r>
        <w:rPr>
          <w:rFonts w:hint="eastAsia" w:ascii="仿宋" w:hAnsi="仿宋" w:eastAsia="仿宋" w:cs="仿宋_GB2312"/>
          <w:sz w:val="32"/>
          <w:szCs w:val="32"/>
        </w:rPr>
        <w:t>由石龙区财政拨付龙河街道办事处，由办事处</w:t>
      </w:r>
      <w:r>
        <w:rPr>
          <w:rFonts w:hint="eastAsia" w:ascii="仿宋" w:hAnsi="仿宋" w:eastAsia="仿宋" w:cs="仿宋_GB2312"/>
          <w:sz w:val="32"/>
          <w:szCs w:val="32"/>
          <w:lang w:eastAsia="zh-CN"/>
        </w:rPr>
        <w:t>负责组织所涉及的农村集体经济组织</w:t>
      </w:r>
      <w:r>
        <w:rPr>
          <w:rFonts w:hint="eastAsia" w:ascii="仿宋" w:hAnsi="仿宋" w:eastAsia="仿宋" w:cs="仿宋_GB2312"/>
          <w:sz w:val="32"/>
          <w:szCs w:val="32"/>
        </w:rPr>
        <w:t>按照村民议事规定依法依规落实具体分配方案。</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（二）社会保障安置：区人民政府对本次拟征收土地按照65.4万元/公顷标准，一次性支付被征地农民社会保障费</w:t>
      </w:r>
      <w:r>
        <w:rPr>
          <w:rFonts w:hint="eastAsia" w:ascii="仿宋" w:hAnsi="仿宋" w:eastAsia="仿宋" w:cs="仿宋_GB2312"/>
          <w:sz w:val="32"/>
          <w:szCs w:val="32"/>
          <w:lang w:val="en-US" w:eastAsia="zh-CN"/>
        </w:rPr>
        <w:t>388.3190</w:t>
      </w:r>
      <w:r>
        <w:rPr>
          <w:rFonts w:hint="eastAsia" w:ascii="仿宋" w:hAnsi="仿宋" w:eastAsia="仿宋" w:cs="仿宋_GB2312"/>
          <w:sz w:val="32"/>
          <w:szCs w:val="32"/>
        </w:rPr>
        <w:t>万元，由区财政局将上述费用于征收土地报批前一次性划入区财政局社会保障资金专户。土地征收经批准后，由区人力资源和社会保障局会同龙河街道办事处嘴陈社区居委会落实被征地农民社会保障工作。</w:t>
      </w:r>
    </w:p>
    <w:p>
      <w:pPr>
        <w:pStyle w:val="10"/>
        <w:widowControl/>
        <w:spacing w:line="560" w:lineRule="exact"/>
        <w:ind w:firstLine="643" w:firstLineChars="200"/>
        <w:rPr>
          <w:rFonts w:ascii="仿宋" w:hAnsi="仿宋" w:eastAsia="仿宋" w:cs="黑体"/>
          <w:b/>
          <w:sz w:val="32"/>
          <w:szCs w:val="32"/>
        </w:rPr>
      </w:pPr>
      <w:r>
        <w:rPr>
          <w:rFonts w:hint="eastAsia" w:ascii="仿宋" w:hAnsi="仿宋" w:eastAsia="仿宋" w:cs="黑体"/>
          <w:b/>
          <w:sz w:val="32"/>
          <w:szCs w:val="32"/>
        </w:rPr>
        <w:t>五、其他事项</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此方案在本次拟征收土地涉及的农村集体经济组织所在地予以公告，同时在河南省征地信息公开查询系统中公告。</w:t>
      </w:r>
      <w:r>
        <w:rPr>
          <w:rFonts w:hint="eastAsia" w:ascii="仿宋" w:hAnsi="仿宋" w:eastAsia="仿宋" w:cs="仿宋_GB2312"/>
          <w:sz w:val="32"/>
        </w:rPr>
        <w:t>被征收土地四至范围内的土地</w:t>
      </w:r>
      <w:r>
        <w:rPr>
          <w:rFonts w:hint="eastAsia" w:ascii="仿宋" w:hAnsi="仿宋" w:eastAsia="仿宋" w:cs="仿宋_GB2312"/>
          <w:sz w:val="32"/>
          <w:szCs w:val="32"/>
        </w:rPr>
        <w:t>所有权人、</w:t>
      </w:r>
      <w:r>
        <w:rPr>
          <w:rFonts w:hint="eastAsia" w:ascii="仿宋" w:hAnsi="仿宋" w:eastAsia="仿宋" w:cs="仿宋_GB2312"/>
          <w:sz w:val="32"/>
        </w:rPr>
        <w:t>使用权人在公告期内</w:t>
      </w:r>
      <w:r>
        <w:rPr>
          <w:rFonts w:hint="eastAsia" w:ascii="仿宋_GB2312" w:hAnsi="仿宋_GB2312" w:eastAsia="仿宋_GB2312"/>
          <w:sz w:val="32"/>
        </w:rPr>
        <w:t>由所在街道办事处、被征地集体组织、附着物青苗所有者和国土资源局共同清点、签字确认，办理补偿登记手续，按标准据实核算。如</w:t>
      </w:r>
      <w:r>
        <w:rPr>
          <w:rFonts w:hint="eastAsia" w:ascii="仿宋" w:hAnsi="仿宋" w:eastAsia="仿宋" w:cs="仿宋_GB2312"/>
          <w:sz w:val="32"/>
        </w:rPr>
        <w:t>对本方案内容如有异议或要求举行听证会的，应在本公告发布之日起30日内以社区为单位，</w:t>
      </w:r>
      <w:r>
        <w:rPr>
          <w:rFonts w:hint="eastAsia" w:ascii="仿宋" w:hAnsi="仿宋" w:eastAsia="仿宋" w:cs="仿宋_GB2312"/>
          <w:sz w:val="32"/>
          <w:szCs w:val="32"/>
        </w:rPr>
        <w:t>向石龙区人民政府提出书面听证申请，由石龙区人民政府按规定组织听证；也可以在本方案公告之日起60日内向上一级人民政府申请行政复议。</w:t>
      </w:r>
    </w:p>
    <w:p>
      <w:pPr>
        <w:pStyle w:val="10"/>
        <w:widowControl/>
        <w:spacing w:line="56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特此公告。</w:t>
      </w: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p>
    <w:p>
      <w:pPr>
        <w:pStyle w:val="11"/>
        <w:spacing w:line="560" w:lineRule="exact"/>
        <w:ind w:firstLine="5110" w:firstLineChars="1597"/>
        <w:rPr>
          <w:rFonts w:ascii="仿宋" w:hAnsi="仿宋" w:eastAsia="仿宋"/>
        </w:rPr>
      </w:pPr>
      <w:r>
        <w:rPr>
          <w:rFonts w:hint="eastAsia" w:ascii="仿宋" w:hAnsi="仿宋" w:eastAsia="仿宋"/>
        </w:rPr>
        <w:t>202</w:t>
      </w:r>
      <w:r>
        <w:rPr>
          <w:rFonts w:hint="eastAsia" w:ascii="仿宋" w:hAnsi="仿宋" w:eastAsia="仿宋"/>
          <w:lang w:val="en-US" w:eastAsia="zh-CN"/>
        </w:rPr>
        <w:t>1</w:t>
      </w:r>
      <w:r>
        <w:rPr>
          <w:rFonts w:hint="eastAsia" w:ascii="仿宋" w:hAnsi="仿宋" w:eastAsia="仿宋"/>
        </w:rPr>
        <w:t xml:space="preserve">年 </w:t>
      </w:r>
      <w:r>
        <w:rPr>
          <w:rFonts w:hint="eastAsia" w:ascii="仿宋" w:hAnsi="仿宋" w:eastAsia="仿宋"/>
          <w:lang w:val="en-US" w:eastAsia="zh-CN"/>
        </w:rPr>
        <w:t>3</w:t>
      </w:r>
      <w:r>
        <w:rPr>
          <w:rFonts w:hint="eastAsia" w:ascii="仿宋" w:hAnsi="仿宋" w:eastAsia="仿宋"/>
        </w:rPr>
        <w:t>月</w:t>
      </w:r>
      <w:r>
        <w:rPr>
          <w:rFonts w:hint="eastAsia" w:ascii="仿宋" w:hAnsi="仿宋" w:eastAsia="仿宋"/>
          <w:lang w:val="en-US" w:eastAsia="zh-CN"/>
        </w:rPr>
        <w:t>2</w:t>
      </w:r>
      <w:bookmarkStart w:id="0" w:name="_GoBack"/>
      <w:bookmarkEnd w:id="0"/>
      <w:r>
        <w:rPr>
          <w:rFonts w:hint="eastAsia" w:ascii="仿宋" w:hAnsi="仿宋" w:eastAsia="仿宋"/>
        </w:rPr>
        <w:t>日</w:t>
      </w:r>
    </w:p>
    <w:p>
      <w:pPr>
        <w:spacing w:line="560" w:lineRule="exact"/>
        <w:rPr>
          <w:rFonts w:ascii="仿宋" w:hAnsi="仿宋" w:eastAsia="仿宋" w:cs="仿宋_GB2312"/>
          <w:sz w:val="32"/>
          <w:szCs w:val="32"/>
        </w:rPr>
      </w:pPr>
      <w:r>
        <w:rPr>
          <w:rFonts w:hint="eastAsia" w:ascii="仿宋" w:hAnsi="仿宋" w:eastAsia="仿宋" w:cs="仿宋_GB2312"/>
          <w:sz w:val="32"/>
          <w:szCs w:val="32"/>
        </w:rPr>
        <w:t>（联系人：王英歌  电话：0375-7069182）</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QGZR60BAABK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s8d6cPscakh4Bpabj2Q84c/RGdWfSgwOYvyiEY&#10;xz4fzr2VQyIiP1oulssKQwJj0wVx2MvzADHdSW9JNhoKOLzSU77/HNMpdUrJ1Zy/1cagn9fG/eVA&#10;zOxhmfuJY7bSsBlG4hvfHlBPj3NvqMPFpMTcO2xrXpHJgMnYTMYugN52ZYdyvRiudglJFG65wgl2&#10;LIwDK+rG5cob8fpesl5+gfU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UBmUetAQAASgMA&#10;AA4AAAAAAAAAAQAgAAAAHgEAAGRycy9lMm9Eb2MueG1sUEsFBgAAAAAGAAYAWQEAAD0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4764E"/>
    <w:rsid w:val="0004764E"/>
    <w:rsid w:val="000618FF"/>
    <w:rsid w:val="00064027"/>
    <w:rsid w:val="000A377E"/>
    <w:rsid w:val="002076B6"/>
    <w:rsid w:val="0021485B"/>
    <w:rsid w:val="00270164"/>
    <w:rsid w:val="002D5322"/>
    <w:rsid w:val="003515DB"/>
    <w:rsid w:val="003D6F44"/>
    <w:rsid w:val="00462B40"/>
    <w:rsid w:val="00490339"/>
    <w:rsid w:val="00490740"/>
    <w:rsid w:val="005B7877"/>
    <w:rsid w:val="00610E6E"/>
    <w:rsid w:val="006E5091"/>
    <w:rsid w:val="00790F79"/>
    <w:rsid w:val="007B734F"/>
    <w:rsid w:val="00883030"/>
    <w:rsid w:val="008915B5"/>
    <w:rsid w:val="008A7C3D"/>
    <w:rsid w:val="009E60B3"/>
    <w:rsid w:val="00A95B04"/>
    <w:rsid w:val="00AB545B"/>
    <w:rsid w:val="00AC4B4B"/>
    <w:rsid w:val="00B01441"/>
    <w:rsid w:val="00B616A7"/>
    <w:rsid w:val="00B73E6A"/>
    <w:rsid w:val="00BB40E3"/>
    <w:rsid w:val="00D35A0B"/>
    <w:rsid w:val="00D73CC1"/>
    <w:rsid w:val="00D84306"/>
    <w:rsid w:val="00F056E3"/>
    <w:rsid w:val="00F20350"/>
    <w:rsid w:val="00F859BF"/>
    <w:rsid w:val="00F973A8"/>
    <w:rsid w:val="00FF2F11"/>
    <w:rsid w:val="07B623E6"/>
    <w:rsid w:val="0EA123C9"/>
    <w:rsid w:val="1A647BA5"/>
    <w:rsid w:val="241919AC"/>
    <w:rsid w:val="316F44DA"/>
    <w:rsid w:val="324E46E8"/>
    <w:rsid w:val="418A3E25"/>
    <w:rsid w:val="54980B97"/>
    <w:rsid w:val="61095F81"/>
    <w:rsid w:val="76771934"/>
    <w:rsid w:val="76D41CF0"/>
    <w:rsid w:val="7B854B6F"/>
    <w:rsid w:val="7F2F0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7">
    <w:name w:val="Strong"/>
    <w:basedOn w:val="6"/>
    <w:qFormat/>
    <w:uiPriority w:val="0"/>
    <w:rPr>
      <w:b/>
    </w:rPr>
  </w:style>
  <w:style w:type="character" w:styleId="8">
    <w:name w:val="FollowedHyperlink"/>
    <w:basedOn w:val="6"/>
    <w:qFormat/>
    <w:uiPriority w:val="0"/>
    <w:rPr>
      <w:rFonts w:hint="eastAsia" w:ascii="微软雅黑" w:hAnsi="微软雅黑" w:eastAsia="微软雅黑" w:cs="微软雅黑"/>
      <w:color w:val="800080"/>
      <w:sz w:val="24"/>
      <w:szCs w:val="24"/>
      <w:u w:val="none"/>
    </w:rPr>
  </w:style>
  <w:style w:type="character" w:styleId="9">
    <w:name w:val="Hyperlink"/>
    <w:basedOn w:val="6"/>
    <w:qFormat/>
    <w:uiPriority w:val="0"/>
    <w:rPr>
      <w:rFonts w:hint="eastAsia" w:ascii="微软雅黑" w:hAnsi="微软雅黑" w:eastAsia="微软雅黑" w:cs="微软雅黑"/>
      <w:color w:val="0000FF"/>
      <w:sz w:val="24"/>
      <w:szCs w:val="24"/>
      <w:u w:val="none"/>
    </w:rPr>
  </w:style>
  <w:style w:type="paragraph" w:customStyle="1" w:styleId="10">
    <w:name w:val="普通(网站)1"/>
    <w:basedOn w:val="1"/>
    <w:qFormat/>
    <w:uiPriority w:val="0"/>
    <w:pPr>
      <w:jc w:val="left"/>
    </w:pPr>
    <w:rPr>
      <w:rFonts w:ascii="微软雅黑" w:hAnsi="微软雅黑" w:eastAsia="微软雅黑" w:cs="微软雅黑"/>
      <w:kern w:val="0"/>
      <w:sz w:val="24"/>
    </w:rPr>
  </w:style>
  <w:style w:type="paragraph" w:customStyle="1" w:styleId="11">
    <w:name w:val="bgs"/>
    <w:basedOn w:val="1"/>
    <w:qFormat/>
    <w:uiPriority w:val="0"/>
    <w:pPr>
      <w:spacing w:line="454" w:lineRule="atLeast"/>
      <w:ind w:firstLine="419"/>
    </w:pPr>
    <w:rPr>
      <w:rFonts w:eastAsia="仿宋_GB2312"/>
      <w:sz w:val="32"/>
    </w:rPr>
  </w:style>
  <w:style w:type="character" w:customStyle="1" w:styleId="12">
    <w:name w:val="批注框文本 Char"/>
    <w:basedOn w:val="6"/>
    <w:link w:val="2"/>
    <w:qFormat/>
    <w:uiPriority w:val="0"/>
    <w:rPr>
      <w:rFonts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76AF-DED6-4FAD-9FE0-89E7E1769697}">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1017</Characters>
  <Lines>8</Lines>
  <Paragraphs>2</Paragraphs>
  <TotalTime>48</TotalTime>
  <ScaleCrop>false</ScaleCrop>
  <LinksUpToDate>false</LinksUpToDate>
  <CharactersWithSpaces>1193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2020-04-13T02:03:00Z</dcterms:created>
  <dc:creator>刘</dc:creator>
  <cp:lastModifiedBy>Administrator</cp:lastModifiedBy>
  <cp:lastPrinted>2021-03-18T03:24:50Z</cp:lastPrinted>
  <dcterms:modified xsi:type="dcterms:W3CDTF">2021-03-18T03:26:10Z</dcterms:modified>
  <dc:title>Administrator</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201E456FF609428982AD64D1CA47E1CE</vt:lpwstr>
  </property>
</Properties>
</file>