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3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0"/>
        <w:gridCol w:w="6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1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行政相对人名称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平顶山市石龙区双喜加油站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75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91410404L70837394P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 xml:space="preserve">张东涛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  <w:lang w:val="en-US" w:eastAsia="zh-CN"/>
              </w:rPr>
            </w:pPr>
            <w:bookmarkStart w:id="0" w:name="OLE_LINK1"/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平顶山市石龙区韩梁路与207国道交叉口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行政处罚种类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lang w:val="en-US" w:eastAsia="zh-CN" w:bidi="ar"/>
              </w:rPr>
              <w:t>罚款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行政处罚决定书文号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</w:rPr>
              <w:t>（石龙区安监局）应急罚〔2021〕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</w:rPr>
              <w:t>号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行政执法人员（执法证号）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shd w:val="clear" w:fill="FCFCFC"/>
                <w:lang w:val="en-US" w:eastAsia="zh-CN" w:bidi="ar"/>
              </w:rPr>
              <w:t>郑自勋（410404000052）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lang w:val="en-US" w:eastAsia="zh-CN" w:bidi="ar"/>
              </w:rPr>
              <w:t>赵晓帅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shd w:val="clear" w:fill="FCFCFC"/>
                <w:lang w:val="en-US" w:eastAsia="zh-CN" w:bidi="ar"/>
              </w:rPr>
              <w:t>（410404000056）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2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违法事实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202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日，我局行政执法人员在对平顶山市石龙区双喜加油站进行监督检查时，发现该加油站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  <w:lang w:val="en-US" w:eastAsia="zh-CN"/>
              </w:rPr>
              <w:t>未制定事故隐患治理方案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。当即下达了《责令限期整改指令书》，责令限期改正。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主要证据材料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证据一：现场检查记录、责令限期整改指令书。证据二：平顶山市石龙区双喜加油站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  <w:lang w:eastAsia="zh-CN"/>
              </w:rPr>
              <w:t>站长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张东涛的询问笔录。证据三：当日影像资料照片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eastAsia="zh-CN"/>
              </w:rPr>
              <w:t>。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</w:rPr>
              <w:t>证明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202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日，我局行政执法人员在对平顶山市石龙区双喜加油站进行监督检查时，发现该加油站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  <w:lang w:val="en-US" w:eastAsia="zh-CN"/>
              </w:rPr>
              <w:t>未制定事故隐患治理方案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处罚依据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</w:rPr>
              <w:t>违反了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《安全生产事故隐患排查治理暂行规定》第十五条第二款，对于重大事故隐患，由生产经营单位主要负责人组织制定并实施事故隐患治理方案。重大事故隐患治理方案应当包括以下内容：（一）治理的目标和任务；（二）采取的方法和措施；（三）经费和物资的落实；（四）负责治理的机构和人员；（五）治理的时限和要求；（六）安全措施和应急预案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</w:rPr>
              <w:t>的规定，依据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《安全生产事故隐患排查治理暂行规定》第二十六条第三项，生产经营单位未制定事故隐患治理方案的，由安全监管监察部门给予警告，并处 3 万元以下的罚款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</w:rPr>
              <w:t>的规定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适用裁量标准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3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陈述申辩或听证情况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法制审核情况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  <w:lang w:eastAsia="zh-CN"/>
              </w:rPr>
              <w:t>适用法律正确、裁量适当、事实清楚、程序合法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集体讨论情况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lang w:val="en-US" w:eastAsia="zh-CN" w:bidi="ar"/>
              </w:rPr>
              <w:t>经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13"/>
                <w:sz w:val="28"/>
                <w:szCs w:val="28"/>
                <w:u w:val="none"/>
              </w:rPr>
              <w:t>行政处罚案件案审会合议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lang w:val="en-US" w:eastAsia="zh-CN" w:bidi="ar"/>
              </w:rPr>
              <w:t>，全部同意给予处罚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处罚内容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警告，并处人民币壹万壹仟元罚款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处罚决定日期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lang w:val="en-US" w:eastAsia="zh-CN" w:bidi="ar"/>
              </w:rPr>
              <w:t>2021年6月22日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行政处罚机关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lang w:val="en-US" w:eastAsia="zh-CN" w:bidi="ar"/>
              </w:rPr>
              <w:t>石龙区应急管理局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560" w:firstLineChars="200"/>
      <w:rPr>
        <w:rFonts w:hint="eastAsia" w:ascii="仿宋" w:hAnsi="仿宋" w:eastAsia="仿宋"/>
        <w:sz w:val="28"/>
        <w:szCs w:val="28"/>
        <w:u w:val="none"/>
      </w:rPr>
    </w:pPr>
  </w:p>
  <w:p>
    <w:pPr>
      <w:pStyle w:val="4"/>
      <w:ind w:firstLine="560" w:firstLineChars="200"/>
      <w:rPr>
        <w:rFonts w:hint="eastAsia" w:ascii="仿宋" w:hAnsi="仿宋" w:eastAsia="仿宋"/>
        <w:sz w:val="28"/>
        <w:szCs w:val="28"/>
        <w:u w:val="none"/>
      </w:rPr>
    </w:pPr>
  </w:p>
  <w:p>
    <w:pPr>
      <w:pStyle w:val="4"/>
      <w:ind w:firstLine="320" w:firstLineChars="100"/>
      <w:rPr>
        <w:rFonts w:hint="eastAsia" w:ascii="微软雅黑" w:hAnsi="微软雅黑" w:eastAsia="微软雅黑" w:cs="微软雅黑"/>
        <w:b/>
        <w:bCs/>
        <w:color w:val="000000"/>
        <w:kern w:val="0"/>
        <w:sz w:val="40"/>
        <w:szCs w:val="40"/>
        <w:u w:val="none"/>
      </w:rPr>
    </w:pPr>
    <w:bookmarkStart w:id="1" w:name="_GoBack"/>
    <w:r>
      <w:rPr>
        <w:rFonts w:hint="eastAsia" w:ascii="微软雅黑" w:hAnsi="微软雅黑" w:eastAsia="微软雅黑" w:cs="微软雅黑"/>
        <w:b/>
        <w:bCs/>
        <w:color w:val="000000"/>
        <w:kern w:val="0"/>
        <w:sz w:val="32"/>
        <w:szCs w:val="32"/>
        <w:u w:val="none"/>
      </w:rPr>
      <w:t>平顶山市石龙区双喜加油站</w:t>
    </w:r>
    <w:r>
      <w:rPr>
        <w:rFonts w:hint="eastAsia" w:ascii="微软雅黑" w:hAnsi="微软雅黑" w:eastAsia="微软雅黑" w:cs="微软雅黑"/>
        <w:b/>
        <w:bCs/>
        <w:sz w:val="32"/>
        <w:szCs w:val="32"/>
        <w:u w:val="none"/>
        <w:lang w:val="en-US" w:eastAsia="zh-CN"/>
      </w:rPr>
      <w:t>未制定事故隐患治理方案</w:t>
    </w:r>
    <w:r>
      <w:rPr>
        <w:rFonts w:hint="eastAsia" w:ascii="微软雅黑" w:hAnsi="微软雅黑" w:eastAsia="微软雅黑" w:cs="微软雅黑"/>
        <w:b/>
        <w:bCs/>
        <w:color w:val="000000"/>
        <w:kern w:val="0"/>
        <w:sz w:val="32"/>
        <w:szCs w:val="32"/>
        <w:u w:val="none"/>
      </w:rPr>
      <w:t>案</w:t>
    </w:r>
    <w:r>
      <w:rPr>
        <w:rFonts w:hint="eastAsia" w:ascii="微软雅黑" w:hAnsi="微软雅黑" w:eastAsia="微软雅黑" w:cs="微软雅黑"/>
        <w:sz w:val="32"/>
        <w:szCs w:val="32"/>
        <w:u w:val="none"/>
      </w:rPr>
      <w:t xml:space="preserve"> </w:t>
    </w:r>
  </w:p>
  <w:bookmarkEnd w:id="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63280"/>
    <w:rsid w:val="19EB7285"/>
    <w:rsid w:val="1CE56624"/>
    <w:rsid w:val="1DAA13BB"/>
    <w:rsid w:val="2D3A5AD6"/>
    <w:rsid w:val="305C2B5B"/>
    <w:rsid w:val="33A36C82"/>
    <w:rsid w:val="3434239C"/>
    <w:rsid w:val="398C4B96"/>
    <w:rsid w:val="3D0C6162"/>
    <w:rsid w:val="48DD7443"/>
    <w:rsid w:val="4B363280"/>
    <w:rsid w:val="4FE17D8F"/>
    <w:rsid w:val="5A320AEF"/>
    <w:rsid w:val="644671CA"/>
    <w:rsid w:val="6C51034A"/>
    <w:rsid w:val="6F203019"/>
    <w:rsid w:val="7A81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1"/>
    <w:qFormat/>
    <w:uiPriority w:val="0"/>
    <w:pPr>
      <w:ind w:firstLine="200" w:firstLineChars="200"/>
      <w:jc w:val="left"/>
    </w:pPr>
    <w:rPr>
      <w:rFonts w:eastAsia="仿宋_GB231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2021-11-04T03:23:00Z</dcterms:created>
  <dc:creator>hl</dc:creator>
  <cp:lastModifiedBy>Administrator</cp:lastModifiedBy>
  <dcterms:modified xsi:type="dcterms:W3CDTF">2021-12-29T07:04:20Z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A9272DD2E55048DB9CE7F302AFF2B1AB</vt:lpwstr>
  </property>
</Properties>
</file>