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overflowPunct w:val="0"/>
        <w:ind w:firstLine="677" w:firstLineChars="100"/>
        <w:jc w:val="both"/>
        <w:rPr>
          <w:rFonts w:hint="eastAsia" w:ascii="仿宋" w:hAnsi="仿宋" w:eastAsia="仿宋" w:cs="仿宋"/>
          <w:b/>
          <w:bCs/>
          <w:spacing w:val="-23"/>
          <w:w w:val="100"/>
          <w:sz w:val="72"/>
        </w:rPr>
      </w:pPr>
      <w:r>
        <w:rPr>
          <w:rFonts w:hint="eastAsia" w:ascii="仿宋" w:hAnsi="仿宋" w:eastAsia="仿宋" w:cs="仿宋"/>
          <w:b/>
          <w:bCs/>
          <w:spacing w:val="-23"/>
          <w:w w:val="100"/>
          <w:sz w:val="72"/>
        </w:rPr>
        <w:t>平顶山市石龙区环境保护局</w:t>
      </w:r>
    </w:p>
    <w:p>
      <w:pPr>
        <w:widowControl/>
        <w:overflowPunct w:val="0"/>
        <w:jc w:val="center"/>
        <w:rPr>
          <w:rFonts w:hint="eastAsia" w:ascii="仿宋" w:hAnsi="仿宋" w:eastAsia="仿宋" w:cs="仿宋"/>
          <w:b w:val="0"/>
          <w:bCs w:val="0"/>
          <w:spacing w:val="-23"/>
          <w:w w:val="150"/>
          <w:sz w:val="72"/>
        </w:rPr>
      </w:pPr>
      <w:r>
        <w:rPr>
          <w:rFonts w:hint="eastAsia" w:ascii="仿宋" w:hAnsi="仿宋" w:eastAsia="仿宋" w:cs="仿宋"/>
          <w:b w:val="0"/>
          <w:bCs w:val="0"/>
          <w:spacing w:val="-23"/>
          <w:w w:val="1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140335</wp:posOffset>
                </wp:positionV>
                <wp:extent cx="5863590" cy="1206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3590" cy="12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.4pt;margin-top:11.05pt;height:0.95pt;width:461.7pt;z-index:251664384;mso-width-relative:page;mso-height-relative:page;" filled="f" stroked="t" coordsize="21600,21600" o:gfxdata="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B5Kz1gAA&#10;AAgBAAAPAAAAAAAAAAEAIAAAACIAAABkcnMvZG93bnJldi54bWxQSwECFAAUAAAACACHTuJAckiO&#10;FOcBAACzAwAADgAAAAAAAAABACAAAAAl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overflowPunct w:val="0"/>
        <w:jc w:val="center"/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</w:rPr>
        <w:t>行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</w:rPr>
        <w:t>政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</w:rPr>
        <w:t>处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</w:rPr>
        <w:t>罚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</w:rPr>
        <w:t>决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</w:rPr>
        <w:t>定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pacing w:val="0"/>
          <w:w w:val="100"/>
          <w:sz w:val="44"/>
          <w:szCs w:val="44"/>
        </w:rPr>
        <w:t>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20" w:lineRule="exact"/>
        <w:ind w:firstLine="3200" w:firstLineChars="1000"/>
        <w:jc w:val="both"/>
        <w:textAlignment w:val="auto"/>
        <w:outlineLvl w:val="9"/>
        <w:rPr>
          <w:rFonts w:hint="eastAsia" w:ascii="仿宋" w:hAnsi="仿宋" w:eastAsia="仿宋" w:cs="仿宋"/>
          <w:b w:val="0"/>
          <w:snapToGrid w:val="0"/>
          <w:spacing w:val="0"/>
          <w:w w:val="100"/>
          <w:kern w:val="10"/>
          <w:sz w:val="32"/>
          <w:szCs w:val="32"/>
        </w:rPr>
      </w:pP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平龙环罚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决字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第05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20" w:lineRule="exact"/>
        <w:jc w:val="both"/>
        <w:textAlignment w:val="auto"/>
        <w:outlineLvl w:val="9"/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平顶山</w:t>
      </w: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市瑞宏建材</w:t>
      </w: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有限公司: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20" w:lineRule="exact"/>
        <w:jc w:val="both"/>
        <w:textAlignment w:val="auto"/>
        <w:outlineLvl w:val="9"/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法定代表人：</w:t>
      </w: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张国强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2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统一社会信用代码：91410404</w:t>
      </w:r>
      <w:r>
        <w:rPr>
          <w:rFonts w:hint="eastAsia" w:ascii="仿宋" w:hAnsi="仿宋" w:eastAsia="仿宋" w:cs="仿宋"/>
          <w:b w:val="0"/>
          <w:spacing w:val="0"/>
          <w:w w:val="100"/>
          <w:sz w:val="32"/>
          <w:szCs w:val="32"/>
          <w:lang w:val="en-US" w:eastAsia="zh-CN"/>
        </w:rPr>
        <w:t>MA40XJPH40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20" w:lineRule="exact"/>
        <w:jc w:val="both"/>
        <w:textAlignment w:val="auto"/>
        <w:outlineLvl w:val="9"/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地址：</w:t>
      </w: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河南省平顶山市</w:t>
      </w: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石龙区</w:t>
      </w: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山高村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spacing w:val="0"/>
          <w:w w:val="100"/>
          <w:kern w:val="10"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 w:val="0"/>
          <w:snapToGrid w:val="0"/>
          <w:spacing w:val="0"/>
          <w:w w:val="100"/>
          <w:kern w:val="10"/>
          <w:sz w:val="32"/>
          <w:szCs w:val="32"/>
          <w:lang w:val="en-US" w:eastAsia="zh-CN"/>
        </w:rPr>
        <w:t>一、</w:t>
      </w:r>
      <w:r>
        <w:rPr>
          <w:rStyle w:val="4"/>
          <w:rFonts w:hint="eastAsia" w:ascii="仿宋" w:hAnsi="仿宋" w:eastAsia="仿宋" w:cs="仿宋"/>
          <w:b/>
          <w:bCs w:val="0"/>
          <w:snapToGrid w:val="0"/>
          <w:spacing w:val="0"/>
          <w:w w:val="100"/>
          <w:kern w:val="10"/>
          <w:sz w:val="32"/>
          <w:szCs w:val="32"/>
        </w:rPr>
        <w:t>违法事实和证据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spacing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spacing w:val="0"/>
          <w:sz w:val="32"/>
          <w:szCs w:val="32"/>
        </w:rPr>
        <w:t>日，我局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接收到平顶山市环境监察支队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  <w:t>(平环监函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  <w:t>175号关于河南省生态环境厅2020年秋冬季污染防治攻坚暗访核查组移交环境问题办理的监察通知)，你公司砂土未覆盖，存在扬尘污染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的环境违法行为予以立案。</w:t>
      </w:r>
    </w:p>
    <w:p>
      <w:pPr>
        <w:pStyle w:val="2"/>
        <w:keepNext w:val="0"/>
        <w:keepLines w:val="0"/>
        <w:pageBreakBefore w:val="0"/>
        <w:widowControl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</w:pP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以上违法事实有“平顶山市石龙区环境保护局调查询问笔录”和“平顶山市石龙区环境保护局现场检查（勘察）笔录”及“</w:t>
      </w:r>
      <w:r>
        <w:rPr>
          <w:rFonts w:hint="eastAsia" w:ascii="仿宋" w:hAnsi="仿宋" w:eastAsia="仿宋" w:cs="仿宋"/>
          <w:b w:val="0"/>
          <w:spacing w:val="0"/>
          <w:w w:val="100"/>
          <w:sz w:val="32"/>
          <w:szCs w:val="32"/>
        </w:rPr>
        <w:t>现场照片”等材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料为证。执法人员对你</w:t>
      </w:r>
      <w:r>
        <w:rPr>
          <w:rStyle w:val="4"/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公司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下达了《责令改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正决定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书》（平龙环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罚责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改〔20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第09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号）。你单位上述行为违反了《中华人民共和国大气污染防治法》第七十条第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2"/>
          <w:szCs w:val="32"/>
        </w:rPr>
        <w:t>款：“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  <w:t>贮存煤炭、煤矸石、煤渣、煤灰、水泥、石灰、石膏、砂土等易产生扬尘的物料应当密闭；不能密闭的，应当设置不低于堆放物高度的严密围挡，并采取有效覆盖措施防治扬尘污染。”的规定，已构成违法，你公司应当承担环境行政法律责任。</w:t>
      </w:r>
    </w:p>
    <w:p>
      <w:pPr>
        <w:pStyle w:val="2"/>
        <w:keepNext w:val="0"/>
        <w:keepLines w:val="0"/>
        <w:pageBreakBefore w:val="0"/>
        <w:widowControl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48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我局于20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年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月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 xml:space="preserve">30 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日向你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positio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送达了《平顶山市石龙区环境保护局行政处罚事先告知书》（平龙环罚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先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告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〔20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〕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第05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号），告知你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positio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对我局作出的行政处罚有权进行陈述申辩和申请听证的权利。你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positio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在法定期限内未进行陈述申辩或申请听证。以上事实有《平顶山市石龙区环境保护局行政处罚事先告知书》（平龙环罚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先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告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〔20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〕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第05</w:t>
      </w:r>
      <w:bookmarkStart w:id="0" w:name="_GoBack"/>
      <w:bookmarkEnd w:id="0"/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号）和《送达回证》等为证。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480" w:lineRule="auto"/>
        <w:ind w:left="0" w:leftChars="0" w:firstLine="800" w:firstLineChars="250"/>
        <w:jc w:val="both"/>
        <w:textAlignment w:val="auto"/>
        <w:outlineLvl w:val="9"/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根据你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positio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违法行为的事实、性质、情节、社会危害程度和相关证据，其违法行为属于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违法。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480" w:lineRule="auto"/>
        <w:ind w:left="0" w:leftChars="0" w:firstLine="803" w:firstLineChars="25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spacing w:val="0"/>
          <w:kern w:val="10"/>
          <w:position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 w:val="0"/>
          <w:snapToGrid w:val="0"/>
          <w:spacing w:val="0"/>
          <w:kern w:val="10"/>
          <w:position w:val="0"/>
          <w:sz w:val="32"/>
          <w:szCs w:val="32"/>
        </w:rPr>
        <w:t>二、行政处罚的依据、种类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480" w:lineRule="auto"/>
        <w:ind w:left="0" w:leftChars="0" w:firstLine="700" w:firstLineChars="250"/>
        <w:jc w:val="both"/>
        <w:textAlignment w:val="auto"/>
        <w:outlineLvl w:val="9"/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Cs w:val="0"/>
          <w:snapToGrid w:val="0"/>
          <w:color w:val="000000"/>
          <w:spacing w:val="-20"/>
          <w:kern w:val="10"/>
          <w:position w:val="0"/>
          <w:sz w:val="32"/>
          <w:szCs w:val="32"/>
        </w:rPr>
        <w:t>依据《中华人民共和国大气污染防治法》第一百一十七条第一款：“违反本法规定，有下列行为之一的，由县级以上人民政府环境保护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等主管部门按照职责责令改正，处一万元以上十万元以下的罚款；拒不改正的，责令停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-23"/>
          <w:kern w:val="10"/>
          <w:position w:val="0"/>
          <w:sz w:val="32"/>
          <w:szCs w:val="32"/>
        </w:rPr>
        <w:t>工整治或者停业整治：（一）未密闭煤炭、煤矸石、煤渣、煤灰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23"/>
          <w:kern w:val="10"/>
          <w:position w:val="0"/>
          <w:sz w:val="32"/>
          <w:szCs w:val="32"/>
        </w:rPr>
        <w:t>、水泥、石灰、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23"/>
          <w:kern w:val="10"/>
          <w:positio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23"/>
          <w:kern w:val="10"/>
          <w:position w:val="0"/>
          <w:sz w:val="32"/>
          <w:szCs w:val="32"/>
        </w:rPr>
        <w:t>石膏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-23"/>
          <w:kern w:val="10"/>
          <w:position w:val="0"/>
          <w:sz w:val="32"/>
          <w:szCs w:val="32"/>
        </w:rPr>
        <w:t>、沙土等易产生扬尘的物料的；”的规定。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20"/>
          <w:kern w:val="10"/>
          <w:position w:val="0"/>
          <w:sz w:val="32"/>
          <w:szCs w:val="32"/>
        </w:rPr>
        <w:t>参照河南省《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大气污染防治法行政处罚裁量标准》中“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  <w:t>社会影响较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  <w:t>或者危害后果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  <w:lang w:val="en-US" w:eastAsia="zh-CN"/>
        </w:rPr>
        <w:t>不严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  <w:t>重的；责令改正，处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  <w:t>万元以上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  <w:t>万元以下的罚款；拒不改正的，责令停工整治或者停业整治。</w:t>
      </w:r>
      <w:r>
        <w:rPr>
          <w:rFonts w:hint="eastAsia" w:ascii="仿宋" w:hAnsi="仿宋" w:eastAsia="仿宋" w:cs="仿宋"/>
          <w:bCs w:val="0"/>
          <w:snapToGrid w:val="0"/>
          <w:color w:val="000000"/>
          <w:spacing w:val="0"/>
          <w:kern w:val="10"/>
          <w:position w:val="0"/>
          <w:sz w:val="32"/>
          <w:szCs w:val="32"/>
        </w:rPr>
        <w:t>”的规定。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  <w:t>我局决定对你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position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  <w:t>的上述违法行为作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10"/>
          <w:position w:val="0"/>
          <w:sz w:val="32"/>
          <w:szCs w:val="32"/>
          <w:lang w:val="en-US" w:eastAsia="zh-CN"/>
        </w:rPr>
        <w:t>以下行政处罚</w:t>
      </w:r>
      <w:r>
        <w:rPr>
          <w:rFonts w:hint="eastAsia" w:ascii="仿宋" w:hAnsi="仿宋" w:eastAsia="仿宋" w:cs="仿宋"/>
          <w:bCs w:val="0"/>
          <w:snapToGrid w:val="0"/>
          <w:spacing w:val="0"/>
          <w:kern w:val="10"/>
          <w:position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480" w:lineRule="auto"/>
        <w:ind w:left="0" w:leftChars="0" w:firstLine="800" w:firstLineChars="25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1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0"/>
          <w:w w:val="100"/>
          <w:kern w:val="10"/>
          <w:position w:val="0"/>
          <w:sz w:val="32"/>
          <w:szCs w:val="32"/>
        </w:rPr>
        <w:t>罚款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0"/>
          <w:w w:val="100"/>
          <w:kern w:val="1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0"/>
          <w:w w:val="100"/>
          <w:kern w:val="10"/>
          <w:position w:val="0"/>
          <w:sz w:val="32"/>
          <w:szCs w:val="32"/>
        </w:rPr>
        <w:t>万元的</w:t>
      </w: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10"/>
          <w:position w:val="0"/>
          <w:sz w:val="32"/>
          <w:szCs w:val="32"/>
        </w:rPr>
        <w:t>行政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0"/>
          <w:w w:val="100"/>
          <w:kern w:val="10"/>
          <w:position w:val="0"/>
          <w:sz w:val="32"/>
          <w:szCs w:val="32"/>
        </w:rPr>
        <w:t>罚款。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480" w:lineRule="auto"/>
        <w:ind w:left="0" w:leftChars="0" w:firstLine="803" w:firstLineChars="25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napToGrid w:val="0"/>
          <w:spacing w:val="0"/>
          <w:w w:val="100"/>
          <w:kern w:val="10"/>
          <w:position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 w:val="0"/>
          <w:snapToGrid w:val="0"/>
          <w:spacing w:val="0"/>
          <w:w w:val="100"/>
          <w:kern w:val="10"/>
          <w:position w:val="0"/>
          <w:sz w:val="32"/>
          <w:szCs w:val="32"/>
        </w:rPr>
        <w:t>三、履行方式和期限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180"/>
        </w:tabs>
        <w:wordWrap/>
        <w:bidi w:val="0"/>
        <w:adjustRightInd/>
        <w:snapToGrid/>
        <w:spacing w:line="480" w:lineRule="auto"/>
        <w:ind w:right="6" w:rightChars="0" w:firstLine="800" w:firstLineChars="250"/>
        <w:textAlignment w:val="auto"/>
        <w:rPr>
          <w:rStyle w:val="4"/>
          <w:rFonts w:hint="eastAsia" w:ascii="仿宋" w:hAnsi="仿宋" w:eastAsia="仿宋" w:cs="仿宋"/>
          <w:b w:val="0"/>
          <w:bCs w:val="0"/>
          <w:snapToGrid w:val="0"/>
          <w:spacing w:val="0"/>
          <w:kern w:val="11"/>
          <w:position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 w:val="0"/>
          <w:snapToGrid w:val="0"/>
          <w:spacing w:val="0"/>
          <w:kern w:val="11"/>
          <w:position w:val="0"/>
          <w:sz w:val="32"/>
          <w:szCs w:val="32"/>
        </w:rPr>
        <w:t>你</w:t>
      </w:r>
      <w:r>
        <w:rPr>
          <w:rFonts w:hint="eastAsia" w:ascii="仿宋" w:hAnsi="仿宋" w:eastAsia="仿宋" w:cs="仿宋"/>
          <w:b w:val="0"/>
          <w:bCs w:val="0"/>
          <w:spacing w:val="0"/>
          <w:position w:val="0"/>
          <w:sz w:val="32"/>
          <w:szCs w:val="32"/>
          <w:lang w:eastAsia="zh-CN"/>
        </w:rPr>
        <w:t>公司</w:t>
      </w:r>
      <w:r>
        <w:rPr>
          <w:rStyle w:val="4"/>
          <w:rFonts w:hint="eastAsia" w:ascii="仿宋" w:hAnsi="仿宋" w:eastAsia="仿宋" w:cs="仿宋"/>
          <w:b w:val="0"/>
          <w:bCs w:val="0"/>
          <w:snapToGrid w:val="0"/>
          <w:spacing w:val="0"/>
          <w:kern w:val="11"/>
          <w:position w:val="0"/>
          <w:sz w:val="32"/>
          <w:szCs w:val="32"/>
        </w:rPr>
        <w:t>自本决定书送达之日起15日内，</w:t>
      </w:r>
      <w:r>
        <w:rPr>
          <w:rStyle w:val="4"/>
          <w:rFonts w:hint="eastAsia" w:ascii="仿宋" w:hAnsi="仿宋" w:eastAsia="仿宋" w:cs="仿宋"/>
          <w:b w:val="0"/>
          <w:bCs w:val="0"/>
          <w:snapToGrid w:val="0"/>
          <w:spacing w:val="0"/>
          <w:kern w:val="11"/>
          <w:position w:val="0"/>
          <w:sz w:val="32"/>
          <w:szCs w:val="32"/>
          <w:lang w:val="en-US" w:eastAsia="zh-CN"/>
        </w:rPr>
        <w:t>将罚款缴至以下指定单位和账号</w:t>
      </w:r>
      <w:r>
        <w:rPr>
          <w:rStyle w:val="4"/>
          <w:rFonts w:hint="eastAsia" w:ascii="仿宋" w:hAnsi="仿宋" w:eastAsia="仿宋" w:cs="仿宋"/>
          <w:b w:val="0"/>
          <w:bCs w:val="0"/>
          <w:snapToGrid w:val="0"/>
          <w:spacing w:val="0"/>
          <w:kern w:val="11"/>
          <w:position w:val="0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收款机关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: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平顶山市石龙区财政国库支付中心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开户银行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: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平顶山市石龙区农村信用合作社联合社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账号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: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00000000000971283012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你公司款项缴清后，请持银行交款凭证《河南省政府非税收入专用缴款通知书》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到平顶山市石龙区环境监察大队进行相关业务处理，换取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《河南省政府非税收入票据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》。有疑问请拨咨询电话: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  <w:lang w:val="en-US" w:eastAsia="zh-CN"/>
        </w:rPr>
        <w:t>2535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1"/>
          <w:sz w:val="32"/>
          <w:szCs w:val="32"/>
        </w:rPr>
        <w:t>189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逾期不缴纳罚款的，我局将依法采取行政强制措施。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spacing w:val="0"/>
          <w:kern w:val="10"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/>
          <w:snapToGrid w:val="0"/>
          <w:spacing w:val="0"/>
          <w:kern w:val="10"/>
          <w:sz w:val="32"/>
          <w:szCs w:val="32"/>
        </w:rPr>
        <w:t>四、申请行政复议或者提起行政诉讼的途径和期限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pacing w:val="0"/>
          <w:kern w:val="10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0"/>
          <w:sz w:val="32"/>
          <w:szCs w:val="32"/>
        </w:rPr>
        <w:t>你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公司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0"/>
          <w:sz w:val="32"/>
          <w:szCs w:val="32"/>
        </w:rPr>
        <w:t>如不服本处罚决定，可自本决定书送达之日起60日内向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0"/>
          <w:sz w:val="32"/>
          <w:szCs w:val="32"/>
          <w:lang w:val="en-US" w:eastAsia="zh-CN"/>
        </w:rPr>
        <w:t>平顶山市生态环境局或</w:t>
      </w:r>
      <w:r>
        <w:rPr>
          <w:rStyle w:val="4"/>
          <w:rFonts w:hint="eastAsia" w:ascii="仿宋" w:hAnsi="仿宋" w:eastAsia="仿宋" w:cs="仿宋"/>
          <w:b w:val="0"/>
          <w:snapToGrid w:val="0"/>
          <w:spacing w:val="0"/>
          <w:kern w:val="10"/>
          <w:sz w:val="32"/>
          <w:szCs w:val="32"/>
        </w:rPr>
        <w:t>平顶山市石龙区人民政府申请行政复议；也可在本决定书送达之日起六个月内，向平顶山市石龙区人民法院提起行政诉讼。逾期不复议、不起诉，又不履行本处罚决定的，我局将依据《中华人民共和国行政强制法》第五十三条的规定，依法申请人民法院强制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/>
        <w:ind w:firstLine="4480" w:firstLineChars="14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/>
        <w:ind w:firstLine="4480" w:firstLineChars="14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  <w:t>平顶山市石龙区环境保护局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pacing w:val="0"/>
          <w:kern w:val="1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  <w:t>20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10"/>
          <w:sz w:val="32"/>
          <w:szCs w:val="32"/>
        </w:rPr>
        <w:t>日</w:t>
      </w:r>
    </w:p>
    <w:p>
      <w:pPr>
        <w:ind w:firstLine="800" w:firstLineChars="200"/>
        <w:rPr>
          <w:rStyle w:val="4"/>
          <w:rFonts w:hint="eastAsia" w:ascii="仿宋" w:hAnsi="仿宋" w:eastAsia="仿宋" w:cs="仿宋"/>
          <w:b w:val="0"/>
          <w:bCs/>
          <w:spacing w:val="20"/>
          <w:sz w:val="36"/>
          <w:szCs w:val="36"/>
        </w:rPr>
      </w:pPr>
    </w:p>
    <w:p>
      <w:pPr>
        <w:ind w:firstLine="800" w:firstLineChars="200"/>
        <w:rPr>
          <w:rStyle w:val="4"/>
          <w:rFonts w:hint="eastAsia" w:ascii="仿宋" w:hAnsi="仿宋" w:eastAsia="仿宋" w:cs="仿宋"/>
          <w:b w:val="0"/>
          <w:bCs/>
          <w:spacing w:val="2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napToGrid w:val="0"/>
          <w:color w:val="000000"/>
          <w:spacing w:val="0"/>
          <w:w w:val="100"/>
          <w:kern w:val="1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72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0"/>
          <w:w w:val="100"/>
          <w:kern w:val="1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spacing w:beforeAutospacing="0" w:afterAutospacing="0" w:line="6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pacing w:val="0"/>
          <w:w w:val="100"/>
          <w:kern w:val="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/>
        <w:autoSpaceDE w:val="0"/>
        <w:autoSpaceDN w:val="0"/>
        <w:bidi w:val="0"/>
        <w:adjustRightInd/>
        <w:snapToGrid/>
        <w:ind w:left="0" w:leftChars="0" w:firstLine="868" w:firstLineChars="200"/>
        <w:textAlignment w:val="auto"/>
        <w:outlineLvl w:val="9"/>
        <w:rPr>
          <w:rFonts w:hint="eastAsia" w:ascii="仿宋" w:hAnsi="仿宋" w:eastAsia="仿宋" w:cs="仿宋"/>
          <w:snapToGrid w:val="0"/>
          <w:spacing w:val="-23"/>
          <w:w w:val="150"/>
          <w:kern w:val="10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-23"/>
          <w:w w:val="150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F0AFE"/>
    <w:rsid w:val="000A5E3B"/>
    <w:rsid w:val="002A6624"/>
    <w:rsid w:val="002B5A9D"/>
    <w:rsid w:val="00565261"/>
    <w:rsid w:val="020D544D"/>
    <w:rsid w:val="0250575D"/>
    <w:rsid w:val="02DB113A"/>
    <w:rsid w:val="034A5C05"/>
    <w:rsid w:val="046B2C34"/>
    <w:rsid w:val="04B76D63"/>
    <w:rsid w:val="06361BE3"/>
    <w:rsid w:val="073173B5"/>
    <w:rsid w:val="075907F3"/>
    <w:rsid w:val="07660F89"/>
    <w:rsid w:val="07CB178E"/>
    <w:rsid w:val="08375663"/>
    <w:rsid w:val="08E051E8"/>
    <w:rsid w:val="091E6E42"/>
    <w:rsid w:val="0937207B"/>
    <w:rsid w:val="09724C0C"/>
    <w:rsid w:val="0A282185"/>
    <w:rsid w:val="0A59259F"/>
    <w:rsid w:val="0A695A49"/>
    <w:rsid w:val="0AD42DD8"/>
    <w:rsid w:val="0ADA799F"/>
    <w:rsid w:val="0BB328DF"/>
    <w:rsid w:val="0BD0558F"/>
    <w:rsid w:val="0C9E4B29"/>
    <w:rsid w:val="0D9E2DA9"/>
    <w:rsid w:val="0DB3565F"/>
    <w:rsid w:val="0DCB4CA7"/>
    <w:rsid w:val="0DDA56B3"/>
    <w:rsid w:val="0DEE2164"/>
    <w:rsid w:val="0E583827"/>
    <w:rsid w:val="0F272054"/>
    <w:rsid w:val="0FF06D95"/>
    <w:rsid w:val="10132F59"/>
    <w:rsid w:val="10614CFA"/>
    <w:rsid w:val="10D9088D"/>
    <w:rsid w:val="11BE5C5E"/>
    <w:rsid w:val="12417BAE"/>
    <w:rsid w:val="12644657"/>
    <w:rsid w:val="138A2ADD"/>
    <w:rsid w:val="14C40F33"/>
    <w:rsid w:val="15021E2F"/>
    <w:rsid w:val="15885745"/>
    <w:rsid w:val="15E8449C"/>
    <w:rsid w:val="160B083C"/>
    <w:rsid w:val="166E7A73"/>
    <w:rsid w:val="16F702B9"/>
    <w:rsid w:val="17C353A7"/>
    <w:rsid w:val="199646D2"/>
    <w:rsid w:val="19A16E3A"/>
    <w:rsid w:val="19A306DD"/>
    <w:rsid w:val="1A2A6E78"/>
    <w:rsid w:val="1A515C19"/>
    <w:rsid w:val="1B410BC2"/>
    <w:rsid w:val="1BF206C8"/>
    <w:rsid w:val="1C860099"/>
    <w:rsid w:val="1D1C56CD"/>
    <w:rsid w:val="1D526ABE"/>
    <w:rsid w:val="1DA5495F"/>
    <w:rsid w:val="1DC40D93"/>
    <w:rsid w:val="1E2D0C26"/>
    <w:rsid w:val="1E457880"/>
    <w:rsid w:val="1F153BD0"/>
    <w:rsid w:val="1FB33A64"/>
    <w:rsid w:val="204D661A"/>
    <w:rsid w:val="207C5196"/>
    <w:rsid w:val="20F30C91"/>
    <w:rsid w:val="223C0606"/>
    <w:rsid w:val="226F10CA"/>
    <w:rsid w:val="228F5326"/>
    <w:rsid w:val="243A50B7"/>
    <w:rsid w:val="24A5143C"/>
    <w:rsid w:val="25523430"/>
    <w:rsid w:val="262C322B"/>
    <w:rsid w:val="27C46764"/>
    <w:rsid w:val="27CA3AA0"/>
    <w:rsid w:val="27F77C8C"/>
    <w:rsid w:val="287975D3"/>
    <w:rsid w:val="28BB2065"/>
    <w:rsid w:val="291F2A43"/>
    <w:rsid w:val="29616DF5"/>
    <w:rsid w:val="29735C34"/>
    <w:rsid w:val="29D066CC"/>
    <w:rsid w:val="2A02353D"/>
    <w:rsid w:val="2AE97879"/>
    <w:rsid w:val="2AFC6DA3"/>
    <w:rsid w:val="2B2A6EF8"/>
    <w:rsid w:val="2BD815DF"/>
    <w:rsid w:val="2BFA281D"/>
    <w:rsid w:val="2C6921DD"/>
    <w:rsid w:val="2C9E3BCB"/>
    <w:rsid w:val="2CA611FC"/>
    <w:rsid w:val="2CC6250E"/>
    <w:rsid w:val="2D696C8A"/>
    <w:rsid w:val="2D7A3E2A"/>
    <w:rsid w:val="2E7925E7"/>
    <w:rsid w:val="2F3A2EE3"/>
    <w:rsid w:val="2F4A0476"/>
    <w:rsid w:val="2FB6166F"/>
    <w:rsid w:val="301024B1"/>
    <w:rsid w:val="3064181E"/>
    <w:rsid w:val="31476793"/>
    <w:rsid w:val="31EA6EA2"/>
    <w:rsid w:val="324E3D55"/>
    <w:rsid w:val="327849FD"/>
    <w:rsid w:val="32E017B7"/>
    <w:rsid w:val="332A7BB6"/>
    <w:rsid w:val="33CF7FE0"/>
    <w:rsid w:val="349C464B"/>
    <w:rsid w:val="34AD78C9"/>
    <w:rsid w:val="34B62349"/>
    <w:rsid w:val="351F04A8"/>
    <w:rsid w:val="35225485"/>
    <w:rsid w:val="35510D98"/>
    <w:rsid w:val="357714C7"/>
    <w:rsid w:val="35B76887"/>
    <w:rsid w:val="35C374E1"/>
    <w:rsid w:val="361C223A"/>
    <w:rsid w:val="36963B2A"/>
    <w:rsid w:val="369B1728"/>
    <w:rsid w:val="36B47ACE"/>
    <w:rsid w:val="36D7370A"/>
    <w:rsid w:val="377D281A"/>
    <w:rsid w:val="37FD2D16"/>
    <w:rsid w:val="392A7096"/>
    <w:rsid w:val="39BB133B"/>
    <w:rsid w:val="3A0918A3"/>
    <w:rsid w:val="3A711C51"/>
    <w:rsid w:val="3A8C4B85"/>
    <w:rsid w:val="3AC0757E"/>
    <w:rsid w:val="3C652B09"/>
    <w:rsid w:val="3D026D14"/>
    <w:rsid w:val="3DD8014A"/>
    <w:rsid w:val="3E227170"/>
    <w:rsid w:val="3E9E5E9D"/>
    <w:rsid w:val="3EA5570D"/>
    <w:rsid w:val="3EF93686"/>
    <w:rsid w:val="3FC22C11"/>
    <w:rsid w:val="40584770"/>
    <w:rsid w:val="40B450C0"/>
    <w:rsid w:val="415371AC"/>
    <w:rsid w:val="41782815"/>
    <w:rsid w:val="41DA7192"/>
    <w:rsid w:val="41E27027"/>
    <w:rsid w:val="42C8015D"/>
    <w:rsid w:val="42E76461"/>
    <w:rsid w:val="430B2655"/>
    <w:rsid w:val="43953FD9"/>
    <w:rsid w:val="44837A28"/>
    <w:rsid w:val="44900ECA"/>
    <w:rsid w:val="44A902DB"/>
    <w:rsid w:val="44C84321"/>
    <w:rsid w:val="46832487"/>
    <w:rsid w:val="46B15859"/>
    <w:rsid w:val="46C32701"/>
    <w:rsid w:val="478C7D2B"/>
    <w:rsid w:val="47AB3C7F"/>
    <w:rsid w:val="47C74412"/>
    <w:rsid w:val="485D52C2"/>
    <w:rsid w:val="496C2496"/>
    <w:rsid w:val="49F53469"/>
    <w:rsid w:val="4A474940"/>
    <w:rsid w:val="4AD00F46"/>
    <w:rsid w:val="4AE46CD4"/>
    <w:rsid w:val="4BB06B24"/>
    <w:rsid w:val="4BB40B3F"/>
    <w:rsid w:val="4D1623FA"/>
    <w:rsid w:val="4D1C71CB"/>
    <w:rsid w:val="4D1F7A19"/>
    <w:rsid w:val="4D3F6C51"/>
    <w:rsid w:val="4E1E7FEA"/>
    <w:rsid w:val="4EDF325D"/>
    <w:rsid w:val="4F375A43"/>
    <w:rsid w:val="4FE42402"/>
    <w:rsid w:val="50324E5C"/>
    <w:rsid w:val="511D336F"/>
    <w:rsid w:val="51D47617"/>
    <w:rsid w:val="52160019"/>
    <w:rsid w:val="525C686B"/>
    <w:rsid w:val="5275147E"/>
    <w:rsid w:val="530332F3"/>
    <w:rsid w:val="537E34CD"/>
    <w:rsid w:val="53B87BEF"/>
    <w:rsid w:val="53C05BE6"/>
    <w:rsid w:val="53E43EA7"/>
    <w:rsid w:val="54CC507B"/>
    <w:rsid w:val="550775E1"/>
    <w:rsid w:val="5735647C"/>
    <w:rsid w:val="576729E6"/>
    <w:rsid w:val="57D715AD"/>
    <w:rsid w:val="58676817"/>
    <w:rsid w:val="58735D12"/>
    <w:rsid w:val="58E22AA2"/>
    <w:rsid w:val="58F21233"/>
    <w:rsid w:val="5A6964AC"/>
    <w:rsid w:val="5B18743A"/>
    <w:rsid w:val="5C3D4748"/>
    <w:rsid w:val="5CB40C1F"/>
    <w:rsid w:val="5CCA51D5"/>
    <w:rsid w:val="5D8B17D5"/>
    <w:rsid w:val="5EA45A1B"/>
    <w:rsid w:val="60540167"/>
    <w:rsid w:val="60D1650E"/>
    <w:rsid w:val="6197150D"/>
    <w:rsid w:val="623560AD"/>
    <w:rsid w:val="62D555FC"/>
    <w:rsid w:val="63776969"/>
    <w:rsid w:val="63B31ACA"/>
    <w:rsid w:val="66370D7F"/>
    <w:rsid w:val="67904C8B"/>
    <w:rsid w:val="6872580D"/>
    <w:rsid w:val="68EF59C8"/>
    <w:rsid w:val="697D1255"/>
    <w:rsid w:val="69BF0AFE"/>
    <w:rsid w:val="69FF60F0"/>
    <w:rsid w:val="6A901EDF"/>
    <w:rsid w:val="6B0B4C5D"/>
    <w:rsid w:val="6B6E40AD"/>
    <w:rsid w:val="6CD12700"/>
    <w:rsid w:val="6D320C07"/>
    <w:rsid w:val="6D644794"/>
    <w:rsid w:val="6D79204C"/>
    <w:rsid w:val="6DBB32E1"/>
    <w:rsid w:val="6E4B4200"/>
    <w:rsid w:val="6E804604"/>
    <w:rsid w:val="6EA4547B"/>
    <w:rsid w:val="6F323FFA"/>
    <w:rsid w:val="6F9F542A"/>
    <w:rsid w:val="6FB651DD"/>
    <w:rsid w:val="70006703"/>
    <w:rsid w:val="70AA6A17"/>
    <w:rsid w:val="717A47EC"/>
    <w:rsid w:val="71F150C7"/>
    <w:rsid w:val="73BF6EF6"/>
    <w:rsid w:val="73CD6BA2"/>
    <w:rsid w:val="74F041B9"/>
    <w:rsid w:val="75D2171D"/>
    <w:rsid w:val="77DC7A61"/>
    <w:rsid w:val="784C49A8"/>
    <w:rsid w:val="78C10A4E"/>
    <w:rsid w:val="78D514E0"/>
    <w:rsid w:val="791708E8"/>
    <w:rsid w:val="7A9E7A77"/>
    <w:rsid w:val="7B295D40"/>
    <w:rsid w:val="7B332458"/>
    <w:rsid w:val="7B605800"/>
    <w:rsid w:val="7BF94EEC"/>
    <w:rsid w:val="7C2973B7"/>
    <w:rsid w:val="7FC2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2017-07-28T02:55:00Z</dcterms:created>
  <dc:creator>Administrator</dc:creator>
  <cp:lastModifiedBy>admin</cp:lastModifiedBy>
  <cp:lastPrinted>2021-01-26T08:18:11Z</cp:lastPrinted>
  <dcterms:modified xsi:type="dcterms:W3CDTF">2021-01-26T08:19:44Z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