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9C" w:rsidRPr="00847E15" w:rsidRDefault="006A119C" w:rsidP="007B1272">
      <w:pPr>
        <w:jc w:val="center"/>
        <w:rPr>
          <w:rFonts w:ascii="仿宋_GB2312" w:eastAsia="仿宋_GB2312"/>
          <w:w w:val="50"/>
          <w:sz w:val="18"/>
          <w:szCs w:val="18"/>
        </w:rPr>
      </w:pPr>
    </w:p>
    <w:p w:rsidR="006A119C" w:rsidRPr="00847E15" w:rsidRDefault="006A119C" w:rsidP="007B1272">
      <w:pPr>
        <w:jc w:val="center"/>
        <w:rPr>
          <w:rFonts w:ascii="仿宋_GB2312" w:eastAsia="仿宋_GB2312"/>
          <w:w w:val="50"/>
          <w:sz w:val="32"/>
          <w:szCs w:val="32"/>
        </w:rPr>
      </w:pPr>
    </w:p>
    <w:p w:rsidR="006A119C" w:rsidRPr="007B1272" w:rsidRDefault="006A119C" w:rsidP="007B1272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cs="宋体"/>
          <w:color w:val="000000"/>
          <w:spacing w:val="9"/>
          <w:kern w:val="0"/>
          <w:sz w:val="44"/>
          <w:szCs w:val="44"/>
        </w:rPr>
      </w:pPr>
      <w:r w:rsidRPr="007B1272">
        <w:rPr>
          <w:rFonts w:ascii="方正小标宋简体" w:eastAsia="方正小标宋简体" w:hAnsi="宋体" w:cs="宋体" w:hint="eastAsia"/>
          <w:color w:val="000000"/>
          <w:spacing w:val="9"/>
          <w:kern w:val="0"/>
          <w:sz w:val="44"/>
          <w:szCs w:val="44"/>
        </w:rPr>
        <w:t>平顶山市石龙区人民政府</w:t>
      </w:r>
    </w:p>
    <w:p w:rsidR="006A119C" w:rsidRPr="007B1272" w:rsidRDefault="006A119C" w:rsidP="007B1272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cs="宋体"/>
          <w:color w:val="000000"/>
          <w:spacing w:val="9"/>
          <w:kern w:val="0"/>
          <w:sz w:val="44"/>
          <w:szCs w:val="44"/>
        </w:rPr>
      </w:pPr>
      <w:r w:rsidRPr="007B1272">
        <w:rPr>
          <w:rFonts w:ascii="方正小标宋简体" w:eastAsia="方正小标宋简体" w:hAnsi="宋体" w:cs="宋体" w:hint="eastAsia"/>
          <w:color w:val="000000"/>
          <w:spacing w:val="9"/>
          <w:kern w:val="0"/>
          <w:sz w:val="44"/>
          <w:szCs w:val="44"/>
        </w:rPr>
        <w:t>土地征收启动公告</w:t>
      </w:r>
    </w:p>
    <w:p w:rsidR="006A119C" w:rsidRPr="008436C7" w:rsidRDefault="006A119C" w:rsidP="00C7064F">
      <w:pPr>
        <w:ind w:firstLineChars="200" w:firstLine="31680"/>
        <w:rPr>
          <w:rFonts w:ascii="仿宋" w:eastAsia="仿宋" w:hAnsi="仿宋" w:cs="宋体"/>
          <w:kern w:val="0"/>
          <w:szCs w:val="21"/>
        </w:rPr>
      </w:pP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根据《中华人民共和国土地管理法》等法律法规的规定，经区人民政府研究决定，现发布土地征收启动公告如下：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br/>
        <w:t xml:space="preserve">    </w:t>
      </w:r>
      <w:r w:rsidRPr="007B1272">
        <w:rPr>
          <w:rFonts w:ascii="黑体" w:eastAsia="黑体" w:hAnsi="仿宋" w:cs="宋体" w:hint="eastAsia"/>
          <w:kern w:val="0"/>
          <w:sz w:val="32"/>
          <w:szCs w:val="32"/>
        </w:rPr>
        <w:t>一、征收土地的位置、范围、权属、用途</w:t>
      </w:r>
    </w:p>
    <w:p w:rsidR="006A119C" w:rsidRPr="007B1272" w:rsidRDefault="006A119C" w:rsidP="00C7064F">
      <w:pPr>
        <w:pStyle w:val="1"/>
        <w:widowControl/>
        <w:spacing w:line="560" w:lineRule="exact"/>
        <w:ind w:firstLineChars="200" w:firstLine="31680"/>
        <w:jc w:val="both"/>
        <w:rPr>
          <w:rFonts w:ascii="仿宋_GB2312" w:eastAsia="仿宋_GB2312" w:hAnsi="仿宋" w:cs="仿宋_GB2312"/>
          <w:sz w:val="32"/>
          <w:szCs w:val="32"/>
        </w:rPr>
      </w:pPr>
      <w:r w:rsidRPr="007B1272">
        <w:rPr>
          <w:rFonts w:ascii="仿宋_GB2312" w:eastAsia="仿宋_GB2312" w:hAnsi="仿宋" w:cs="仿宋_GB2312" w:hint="eastAsia"/>
          <w:sz w:val="32"/>
          <w:szCs w:val="32"/>
        </w:rPr>
        <w:t>地块</w:t>
      </w:r>
      <w:r w:rsidRPr="007B1272">
        <w:rPr>
          <w:rFonts w:ascii="仿宋_GB2312" w:eastAsia="仿宋_GB2312" w:hAnsi="仿宋" w:cs="仿宋_GB2312"/>
          <w:sz w:val="32"/>
          <w:szCs w:val="32"/>
        </w:rPr>
        <w:t>1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位于人民路街道办事处夏庄社区，土地总面积</w:t>
      </w:r>
      <w:r w:rsidRPr="007B1272">
        <w:rPr>
          <w:rFonts w:ascii="仿宋_GB2312" w:eastAsia="仿宋_GB2312" w:hAnsi="仿宋" w:cs="仿宋_GB2312"/>
          <w:sz w:val="32"/>
          <w:szCs w:val="32"/>
        </w:rPr>
        <w:t>0.9322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公顷，其中集体农用地</w:t>
      </w:r>
      <w:r w:rsidRPr="007B1272">
        <w:rPr>
          <w:rFonts w:ascii="仿宋_GB2312" w:eastAsia="仿宋_GB2312" w:hAnsi="仿宋" w:cs="仿宋_GB2312"/>
          <w:sz w:val="32"/>
          <w:szCs w:val="32"/>
        </w:rPr>
        <w:t>0.9322</w:t>
      </w:r>
      <w:r>
        <w:rPr>
          <w:rFonts w:ascii="仿宋_GB2312" w:eastAsia="仿宋_GB2312" w:hAnsi="仿宋" w:cs="仿宋_GB2312" w:hint="eastAsia"/>
          <w:sz w:val="32"/>
          <w:szCs w:val="32"/>
        </w:rPr>
        <w:t>公顷（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林地</w:t>
      </w:r>
      <w:r w:rsidRPr="007B1272">
        <w:rPr>
          <w:rFonts w:ascii="仿宋_GB2312" w:eastAsia="仿宋_GB2312" w:hAnsi="仿宋" w:cs="仿宋_GB2312"/>
          <w:sz w:val="32"/>
          <w:szCs w:val="32"/>
        </w:rPr>
        <w:t>0.7763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公顷、其他农用地</w:t>
      </w:r>
      <w:r w:rsidRPr="007B1272">
        <w:rPr>
          <w:rFonts w:ascii="仿宋_GB2312" w:eastAsia="仿宋_GB2312" w:hAnsi="仿宋" w:cs="仿宋_GB2312"/>
          <w:sz w:val="32"/>
          <w:szCs w:val="32"/>
        </w:rPr>
        <w:t>0.1559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公顷）。用途为工业项目用地</w:t>
      </w:r>
      <w:bookmarkStart w:id="0" w:name="_GoBack"/>
      <w:bookmarkEnd w:id="0"/>
      <w:r w:rsidRPr="007B127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A119C" w:rsidRPr="007B1272" w:rsidRDefault="006A119C" w:rsidP="00C7064F">
      <w:pPr>
        <w:pStyle w:val="1"/>
        <w:widowControl/>
        <w:spacing w:line="560" w:lineRule="exact"/>
        <w:ind w:firstLineChars="200" w:firstLine="31680"/>
        <w:jc w:val="both"/>
        <w:rPr>
          <w:rFonts w:ascii="仿宋_GB2312" w:eastAsia="仿宋_GB2312" w:hAnsi="仿宋" w:cs="仿宋_GB2312"/>
          <w:sz w:val="32"/>
          <w:szCs w:val="32"/>
        </w:rPr>
      </w:pPr>
      <w:r w:rsidRPr="007B1272">
        <w:rPr>
          <w:rFonts w:ascii="仿宋_GB2312" w:eastAsia="仿宋_GB2312" w:hAnsi="仿宋" w:cs="仿宋_GB2312" w:hint="eastAsia"/>
          <w:sz w:val="32"/>
          <w:szCs w:val="32"/>
        </w:rPr>
        <w:t>地块</w:t>
      </w:r>
      <w:r w:rsidRPr="007B1272">
        <w:rPr>
          <w:rFonts w:ascii="仿宋_GB2312" w:eastAsia="仿宋_GB2312" w:hAnsi="仿宋" w:cs="仿宋_GB2312"/>
          <w:sz w:val="32"/>
          <w:szCs w:val="32"/>
        </w:rPr>
        <w:t>2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位于人民路街道办事处南顾庄社区，土地总面积</w:t>
      </w:r>
      <w:r w:rsidRPr="007B1272">
        <w:rPr>
          <w:rFonts w:ascii="仿宋_GB2312" w:eastAsia="仿宋_GB2312" w:hAnsi="仿宋" w:cs="仿宋_GB2312"/>
          <w:sz w:val="32"/>
          <w:szCs w:val="32"/>
        </w:rPr>
        <w:t>2.9897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公顷，其中集体农用地</w:t>
      </w:r>
      <w:r w:rsidRPr="007B1272">
        <w:rPr>
          <w:rFonts w:ascii="仿宋_GB2312" w:eastAsia="仿宋_GB2312" w:hAnsi="仿宋" w:cs="仿宋_GB2312"/>
          <w:sz w:val="32"/>
          <w:szCs w:val="32"/>
        </w:rPr>
        <w:t>2.9897</w:t>
      </w:r>
      <w:r>
        <w:rPr>
          <w:rFonts w:ascii="仿宋_GB2312" w:eastAsia="仿宋_GB2312" w:hAnsi="仿宋" w:cs="仿宋_GB2312" w:hint="eastAsia"/>
          <w:sz w:val="32"/>
          <w:szCs w:val="32"/>
        </w:rPr>
        <w:t>公顷（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耕地</w:t>
      </w:r>
      <w:r w:rsidRPr="007B1272">
        <w:rPr>
          <w:rFonts w:ascii="仿宋_GB2312" w:eastAsia="仿宋_GB2312" w:hAnsi="仿宋" w:cs="仿宋_GB2312"/>
          <w:sz w:val="32"/>
          <w:szCs w:val="32"/>
        </w:rPr>
        <w:t>2.7117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公顷、其他农用地</w:t>
      </w:r>
      <w:r w:rsidRPr="007B1272">
        <w:rPr>
          <w:rFonts w:ascii="仿宋_GB2312" w:eastAsia="仿宋_GB2312" w:hAnsi="仿宋" w:cs="仿宋_GB2312"/>
          <w:sz w:val="32"/>
          <w:szCs w:val="32"/>
        </w:rPr>
        <w:t>0.2780</w:t>
      </w:r>
      <w:r w:rsidRPr="007B1272">
        <w:rPr>
          <w:rFonts w:ascii="仿宋_GB2312" w:eastAsia="仿宋_GB2312" w:hAnsi="仿宋" w:cs="仿宋_GB2312" w:hint="eastAsia"/>
          <w:sz w:val="32"/>
          <w:szCs w:val="32"/>
        </w:rPr>
        <w:t>公顷）。用途为体育设施用地。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黑体" w:eastAsia="黑体" w:hAnsi="仿宋" w:cs="宋体"/>
          <w:kern w:val="0"/>
          <w:sz w:val="32"/>
          <w:szCs w:val="32"/>
        </w:rPr>
      </w:pPr>
      <w:r w:rsidRPr="007B1272">
        <w:rPr>
          <w:rFonts w:ascii="黑体" w:eastAsia="黑体" w:hAnsi="仿宋" w:cs="宋体" w:hint="eastAsia"/>
          <w:kern w:val="0"/>
          <w:sz w:val="32"/>
          <w:szCs w:val="32"/>
        </w:rPr>
        <w:t>二、拟征收土地的目的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本次拟征收土地用于平顶山市石龙区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>2020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年第一批城市建设用地，符合法律规定的可以征收情形。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黑体" w:eastAsia="黑体" w:hAnsi="仿宋" w:cs="宋体"/>
          <w:kern w:val="0"/>
          <w:sz w:val="32"/>
          <w:szCs w:val="32"/>
        </w:rPr>
      </w:pPr>
      <w:r w:rsidRPr="007B1272">
        <w:rPr>
          <w:rFonts w:ascii="黑体" w:eastAsia="黑体" w:hAnsi="仿宋" w:cs="宋体" w:hint="eastAsia"/>
          <w:kern w:val="0"/>
          <w:sz w:val="32"/>
          <w:szCs w:val="32"/>
        </w:rPr>
        <w:t>三、开展土地现状调查的安排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区国土资源局组织有关部门对拟征收地块进行勘测定界和清点确认，有关单位和个人应予积极支持配合；对清点确认有异议的，可以向所在街道办事处申请复核。被征收土地的具体征地补偿安置方案，待勘测调查完成后，由区国土资源局会同区财政局、区人力资源和社会保障局等有关部门制定并公示。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黑体" w:eastAsia="黑体" w:hAnsi="仿宋" w:cs="宋体"/>
          <w:kern w:val="0"/>
          <w:sz w:val="32"/>
          <w:szCs w:val="32"/>
        </w:rPr>
      </w:pPr>
      <w:r w:rsidRPr="007B1272">
        <w:rPr>
          <w:rFonts w:ascii="黑体" w:eastAsia="黑体" w:hAnsi="仿宋" w:cs="宋体" w:hint="eastAsia"/>
          <w:kern w:val="0"/>
          <w:sz w:val="32"/>
          <w:szCs w:val="32"/>
        </w:rPr>
        <w:t>四、其他事项</w:t>
      </w:r>
      <w:r w:rsidRPr="007B1272">
        <w:rPr>
          <w:rFonts w:ascii="黑体" w:eastAsia="黑体" w:hAnsi="仿宋" w:cs="宋体"/>
          <w:kern w:val="0"/>
          <w:sz w:val="32"/>
          <w:szCs w:val="32"/>
        </w:rPr>
        <w:t xml:space="preserve"> 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本公告在拟征收土地涉及的农村集体经济组织所在地予以张贴，并在河南省征地信息公开查询系统中公告。被征地农村集体经济组织、土地承包户或者其他权利人对本公告发布行为有异议的，可以在公告发布之日起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>60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日内向上一级人民政府提起行政复议申请；对区国土资源局组织的勘测调查清点确认行为有异议的，可以在其行政行为作出之日起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>60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日内向石龙区人民政府申请行政复议。行政复议期间，除法定情形外，不停止土地征收的实施。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自本公告发布之日起，任何单位和个人不得在拟征地范围内抢栽、抢种、抢建；违反规定的，征收土地时一律不予补偿。</w:t>
      </w:r>
    </w:p>
    <w:p w:rsidR="006A119C" w:rsidRPr="007B1272" w:rsidRDefault="006A119C" w:rsidP="00C7064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特此公告。</w:t>
      </w:r>
    </w:p>
    <w:p w:rsidR="006A119C" w:rsidRPr="007B1272" w:rsidRDefault="006A119C" w:rsidP="00C7064F">
      <w:pPr>
        <w:spacing w:line="560" w:lineRule="exact"/>
        <w:ind w:firstLineChars="1750" w:firstLine="31680"/>
        <w:rPr>
          <w:rFonts w:ascii="仿宋_GB2312" w:eastAsia="仿宋_GB2312" w:hAnsi="仿宋" w:cs="宋体"/>
          <w:kern w:val="0"/>
          <w:sz w:val="32"/>
          <w:szCs w:val="32"/>
        </w:rPr>
      </w:pPr>
    </w:p>
    <w:p w:rsidR="006A119C" w:rsidRDefault="006A119C" w:rsidP="00C7064F">
      <w:pPr>
        <w:spacing w:line="560" w:lineRule="exact"/>
        <w:ind w:firstLineChars="1750" w:firstLine="31680"/>
        <w:rPr>
          <w:rFonts w:ascii="仿宋_GB2312" w:eastAsia="仿宋_GB2312" w:hAnsi="仿宋" w:cs="宋体"/>
          <w:kern w:val="0"/>
          <w:sz w:val="32"/>
          <w:szCs w:val="32"/>
        </w:rPr>
      </w:pPr>
    </w:p>
    <w:p w:rsidR="006A119C" w:rsidRPr="007B1272" w:rsidRDefault="006A119C" w:rsidP="00C7064F">
      <w:pPr>
        <w:spacing w:line="560" w:lineRule="exact"/>
        <w:ind w:firstLineChars="1750" w:firstLine="31680"/>
        <w:rPr>
          <w:rFonts w:ascii="仿宋_GB2312" w:eastAsia="仿宋_GB2312" w:hAnsi="仿宋" w:cs="宋体"/>
          <w:kern w:val="0"/>
          <w:sz w:val="32"/>
          <w:szCs w:val="32"/>
        </w:rPr>
      </w:pPr>
    </w:p>
    <w:p w:rsidR="006A119C" w:rsidRPr="007B1272" w:rsidRDefault="006A119C" w:rsidP="00C7064F">
      <w:pPr>
        <w:tabs>
          <w:tab w:val="left" w:pos="7560"/>
        </w:tabs>
        <w:spacing w:line="560" w:lineRule="exact"/>
        <w:ind w:firstLineChars="1600" w:firstLine="31680"/>
        <w:rPr>
          <w:rFonts w:ascii="仿宋_GB2312" w:eastAsia="仿宋_GB2312" w:hAnsi="仿宋" w:cs="宋体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20"/>
        </w:smartTagPr>
        <w:r w:rsidRPr="007B1272">
          <w:rPr>
            <w:rFonts w:ascii="仿宋_GB2312" w:eastAsia="仿宋_GB2312" w:hAnsi="仿宋" w:cs="宋体"/>
            <w:kern w:val="0"/>
            <w:sz w:val="32"/>
            <w:szCs w:val="32"/>
          </w:rPr>
          <w:t>2020</w:t>
        </w:r>
        <w:r w:rsidRPr="007B1272">
          <w:rPr>
            <w:rFonts w:ascii="仿宋_GB2312" w:eastAsia="仿宋_GB2312" w:hAnsi="仿宋" w:cs="宋体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hAnsi="仿宋" w:cs="宋体"/>
            <w:kern w:val="0"/>
            <w:sz w:val="32"/>
            <w:szCs w:val="32"/>
          </w:rPr>
          <w:t>8</w:t>
        </w:r>
        <w:r w:rsidRPr="007B1272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/>
            <w:kern w:val="0"/>
            <w:sz w:val="32"/>
            <w:szCs w:val="32"/>
          </w:rPr>
          <w:t>28</w:t>
        </w:r>
        <w:r w:rsidRPr="007B1272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</w:p>
    <w:p w:rsidR="006A119C" w:rsidRDefault="006A119C" w:rsidP="00473B9C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（联系人：王英歌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电话：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>0375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－</w:t>
      </w:r>
      <w:r w:rsidRPr="007B1272">
        <w:rPr>
          <w:rFonts w:ascii="仿宋_GB2312" w:eastAsia="仿宋_GB2312" w:hAnsi="仿宋" w:cs="宋体"/>
          <w:kern w:val="0"/>
          <w:sz w:val="32"/>
          <w:szCs w:val="32"/>
        </w:rPr>
        <w:t>7069182</w:t>
      </w:r>
      <w:r w:rsidRPr="007B1272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Pr="008436C7" w:rsidRDefault="006A119C" w:rsidP="008436C7">
      <w:pPr>
        <w:rPr>
          <w:rFonts w:ascii="仿宋_GB2312" w:eastAsia="仿宋_GB2312" w:hAnsi="仿宋" w:cs="仿宋_GB2312"/>
          <w:szCs w:val="21"/>
        </w:rPr>
      </w:pPr>
    </w:p>
    <w:p w:rsidR="006A119C" w:rsidRPr="007B1272" w:rsidRDefault="006A119C" w:rsidP="00D008DB">
      <w:pPr>
        <w:spacing w:line="560" w:lineRule="exact"/>
        <w:ind w:firstLineChars="100" w:firstLine="316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3.2pt" to="441pt,3.2pt"/>
        </w:pict>
      </w:r>
      <w:r>
        <w:rPr>
          <w:noProof/>
        </w:rPr>
        <w:pict>
          <v:line id="_x0000_s1027" style="position:absolute;left:0;text-align:left;z-index:251659264" from="0,29.6pt" to="441pt,29.6p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平顶山市石龙区人民政府办公室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20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印发</w:t>
      </w:r>
    </w:p>
    <w:sectPr w:rsidR="006A119C" w:rsidRPr="007B1272" w:rsidSect="007B1272">
      <w:headerReference w:type="default" r:id="rId6"/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9C" w:rsidRDefault="006A119C">
      <w:r>
        <w:separator/>
      </w:r>
    </w:p>
  </w:endnote>
  <w:endnote w:type="continuationSeparator" w:id="0">
    <w:p w:rsidR="006A119C" w:rsidRDefault="006A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9C" w:rsidRDefault="006A119C" w:rsidP="00F66CF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19C" w:rsidRDefault="006A119C" w:rsidP="00B8509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9C" w:rsidRPr="00B8509F" w:rsidRDefault="006A119C" w:rsidP="00F66CF6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 w:rsidRPr="00B8509F">
      <w:rPr>
        <w:rStyle w:val="PageNumber"/>
        <w:rFonts w:ascii="仿宋_GB2312" w:eastAsia="仿宋_GB2312" w:hint="eastAsia"/>
        <w:color w:val="FFFFFF"/>
        <w:sz w:val="28"/>
        <w:szCs w:val="28"/>
      </w:rPr>
      <w:t>好</w:t>
    </w:r>
    <w:r w:rsidRPr="00B8509F">
      <w:rPr>
        <w:rStyle w:val="PageNumber"/>
        <w:rFonts w:ascii="仿宋_GB2312" w:eastAsia="仿宋_GB2312"/>
        <w:sz w:val="28"/>
        <w:szCs w:val="28"/>
      </w:rPr>
      <w:t>—</w:t>
    </w:r>
    <w:r w:rsidRPr="00B8509F">
      <w:rPr>
        <w:rStyle w:val="PageNumber"/>
        <w:rFonts w:ascii="仿宋_GB2312" w:eastAsia="仿宋_GB2312"/>
        <w:sz w:val="28"/>
        <w:szCs w:val="28"/>
      </w:rPr>
      <w:t xml:space="preserve"> </w:t>
    </w:r>
    <w:r w:rsidRPr="00B8509F">
      <w:rPr>
        <w:rStyle w:val="PageNumber"/>
        <w:rFonts w:ascii="仿宋_GB2312" w:eastAsia="仿宋_GB2312"/>
        <w:sz w:val="28"/>
        <w:szCs w:val="28"/>
      </w:rPr>
      <w:fldChar w:fldCharType="begin"/>
    </w:r>
    <w:r w:rsidRPr="00B8509F">
      <w:rPr>
        <w:rStyle w:val="PageNumber"/>
        <w:rFonts w:ascii="仿宋_GB2312" w:eastAsia="仿宋_GB2312"/>
        <w:sz w:val="28"/>
        <w:szCs w:val="28"/>
      </w:rPr>
      <w:instrText xml:space="preserve">PAGE  </w:instrText>
    </w:r>
    <w:r w:rsidRPr="00B8509F"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2</w:t>
    </w:r>
    <w:r w:rsidRPr="00B8509F">
      <w:rPr>
        <w:rStyle w:val="PageNumber"/>
        <w:rFonts w:ascii="仿宋_GB2312" w:eastAsia="仿宋_GB2312"/>
        <w:sz w:val="28"/>
        <w:szCs w:val="28"/>
      </w:rPr>
      <w:fldChar w:fldCharType="end"/>
    </w:r>
    <w:r w:rsidRPr="00B8509F">
      <w:rPr>
        <w:rStyle w:val="PageNumber"/>
        <w:rFonts w:ascii="仿宋_GB2312" w:eastAsia="仿宋_GB2312"/>
        <w:sz w:val="28"/>
        <w:szCs w:val="28"/>
      </w:rPr>
      <w:t xml:space="preserve"> </w:t>
    </w:r>
    <w:r w:rsidRPr="00B8509F">
      <w:rPr>
        <w:rStyle w:val="PageNumber"/>
        <w:rFonts w:ascii="仿宋_GB2312" w:eastAsia="仿宋_GB2312"/>
        <w:sz w:val="28"/>
        <w:szCs w:val="28"/>
      </w:rPr>
      <w:t>—</w:t>
    </w:r>
    <w:r w:rsidRPr="00B8509F">
      <w:rPr>
        <w:rStyle w:val="PageNumber"/>
        <w:rFonts w:ascii="仿宋_GB2312" w:eastAsia="仿宋_GB2312" w:hint="eastAsia"/>
        <w:color w:val="FFFFFF"/>
        <w:sz w:val="28"/>
        <w:szCs w:val="28"/>
      </w:rPr>
      <w:t>好</w:t>
    </w:r>
  </w:p>
  <w:p w:rsidR="006A119C" w:rsidRDefault="006A119C" w:rsidP="00B8509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9C" w:rsidRDefault="006A119C">
      <w:r>
        <w:separator/>
      </w:r>
    </w:p>
  </w:footnote>
  <w:footnote w:type="continuationSeparator" w:id="0">
    <w:p w:rsidR="006A119C" w:rsidRDefault="006A1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9C" w:rsidRDefault="006A119C" w:rsidP="007B127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AF2"/>
    <w:rsid w:val="00085E10"/>
    <w:rsid w:val="000E2482"/>
    <w:rsid w:val="000F4A8E"/>
    <w:rsid w:val="001138B0"/>
    <w:rsid w:val="00233B94"/>
    <w:rsid w:val="002571BD"/>
    <w:rsid w:val="00257BBA"/>
    <w:rsid w:val="00262AF2"/>
    <w:rsid w:val="002E26F7"/>
    <w:rsid w:val="00300915"/>
    <w:rsid w:val="003412F0"/>
    <w:rsid w:val="00386725"/>
    <w:rsid w:val="003B5CFA"/>
    <w:rsid w:val="003E6251"/>
    <w:rsid w:val="003F4E97"/>
    <w:rsid w:val="00473B9C"/>
    <w:rsid w:val="004F1FB4"/>
    <w:rsid w:val="0054155C"/>
    <w:rsid w:val="00595003"/>
    <w:rsid w:val="005E1B78"/>
    <w:rsid w:val="006A119C"/>
    <w:rsid w:val="006C1BFA"/>
    <w:rsid w:val="006C1D22"/>
    <w:rsid w:val="00712F40"/>
    <w:rsid w:val="00730F2F"/>
    <w:rsid w:val="007333A8"/>
    <w:rsid w:val="007A7521"/>
    <w:rsid w:val="007B1272"/>
    <w:rsid w:val="007B7807"/>
    <w:rsid w:val="007E584F"/>
    <w:rsid w:val="007F558C"/>
    <w:rsid w:val="00810E33"/>
    <w:rsid w:val="008436C7"/>
    <w:rsid w:val="00847E15"/>
    <w:rsid w:val="008C5173"/>
    <w:rsid w:val="008E289D"/>
    <w:rsid w:val="009016D1"/>
    <w:rsid w:val="00964ACE"/>
    <w:rsid w:val="009A0507"/>
    <w:rsid w:val="00AB11F9"/>
    <w:rsid w:val="00B2612C"/>
    <w:rsid w:val="00B8509F"/>
    <w:rsid w:val="00BF41E9"/>
    <w:rsid w:val="00C17041"/>
    <w:rsid w:val="00C32C0C"/>
    <w:rsid w:val="00C7064F"/>
    <w:rsid w:val="00C85BE6"/>
    <w:rsid w:val="00CE7EEA"/>
    <w:rsid w:val="00D008DB"/>
    <w:rsid w:val="00D1348C"/>
    <w:rsid w:val="00DA348B"/>
    <w:rsid w:val="00DF5245"/>
    <w:rsid w:val="00E35EC6"/>
    <w:rsid w:val="00E5160F"/>
    <w:rsid w:val="00E61837"/>
    <w:rsid w:val="00EA75E9"/>
    <w:rsid w:val="00F15500"/>
    <w:rsid w:val="00F66CF6"/>
    <w:rsid w:val="00FC722B"/>
    <w:rsid w:val="06161DA9"/>
    <w:rsid w:val="244D7E5E"/>
    <w:rsid w:val="2CA07284"/>
    <w:rsid w:val="31E45100"/>
    <w:rsid w:val="441F5365"/>
    <w:rsid w:val="53D85403"/>
    <w:rsid w:val="627D49F8"/>
    <w:rsid w:val="6BAE6076"/>
    <w:rsid w:val="6C107385"/>
    <w:rsid w:val="78CC286A"/>
    <w:rsid w:val="796210F3"/>
    <w:rsid w:val="79D8360F"/>
    <w:rsid w:val="7A5B7140"/>
    <w:rsid w:val="7D3D4866"/>
    <w:rsid w:val="7FC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7E58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E58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58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8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5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84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E5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84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7E5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Normal"/>
    <w:uiPriority w:val="99"/>
    <w:rsid w:val="007E584F"/>
    <w:pPr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B850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125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30</cp:revision>
  <cp:lastPrinted>2020-09-03T09:24:00Z</cp:lastPrinted>
  <dcterms:created xsi:type="dcterms:W3CDTF">2020-06-02T07:31:00Z</dcterms:created>
  <dcterms:modified xsi:type="dcterms:W3CDTF">2020-09-07T01:24:00Z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